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F043F" w14:textId="3ECFC6E2" w:rsidR="00E05EAA" w:rsidRDefault="00E05EAA" w:rsidP="00E05EAA">
      <w:pPr>
        <w:pStyle w:val="Title"/>
      </w:pPr>
      <w:r>
        <w:t>Terms of Reference</w:t>
      </w:r>
    </w:p>
    <w:p w14:paraId="7721EB3A" w14:textId="55443512" w:rsidR="00752001" w:rsidRDefault="000A41EC" w:rsidP="00DE2C35">
      <w:pPr>
        <w:pStyle w:val="Heading1"/>
        <w:jc w:val="both"/>
      </w:pPr>
      <w:r>
        <w:t xml:space="preserve">Learning Partner for </w:t>
      </w:r>
      <w:r w:rsidR="00510B8F">
        <w:t>5-year Civil Society programme</w:t>
      </w:r>
    </w:p>
    <w:p w14:paraId="4846CF79" w14:textId="77777777" w:rsidR="006D3F61" w:rsidRDefault="006D3F61" w:rsidP="006D3F61"/>
    <w:tbl>
      <w:tblPr>
        <w:tblW w:w="10065"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3"/>
        <w:gridCol w:w="7512"/>
      </w:tblGrid>
      <w:tr w:rsidR="006D3F61" w:rsidRPr="006D3F61" w14:paraId="0F7AE837" w14:textId="77777777" w:rsidTr="006D3F61">
        <w:trPr>
          <w:trHeight w:val="300"/>
        </w:trPr>
        <w:tc>
          <w:tcPr>
            <w:tcW w:w="2553" w:type="dxa"/>
            <w:tcBorders>
              <w:top w:val="single" w:sz="6" w:space="0" w:color="auto"/>
              <w:left w:val="single" w:sz="6" w:space="0" w:color="auto"/>
              <w:bottom w:val="single" w:sz="6" w:space="0" w:color="auto"/>
              <w:right w:val="single" w:sz="6" w:space="0" w:color="auto"/>
            </w:tcBorders>
            <w:shd w:val="clear" w:color="auto" w:fill="auto"/>
            <w:hideMark/>
          </w:tcPr>
          <w:p w14:paraId="0C1E8E20" w14:textId="77777777" w:rsidR="006D3F61" w:rsidRPr="006D3F61" w:rsidRDefault="006D3F61" w:rsidP="006D3F61">
            <w:pPr>
              <w:rPr>
                <w:lang w:val="en-US"/>
              </w:rPr>
            </w:pPr>
            <w:r w:rsidRPr="006D3F61">
              <w:rPr>
                <w:b/>
                <w:bCs/>
              </w:rPr>
              <w:t>Consultancy title:</w:t>
            </w:r>
            <w:r w:rsidRPr="006D3F61">
              <w:rPr>
                <w:lang w:val="en-US"/>
              </w:rPr>
              <w:t> </w:t>
            </w:r>
          </w:p>
        </w:tc>
        <w:tc>
          <w:tcPr>
            <w:tcW w:w="7512" w:type="dxa"/>
            <w:tcBorders>
              <w:top w:val="single" w:sz="6" w:space="0" w:color="auto"/>
              <w:left w:val="single" w:sz="6" w:space="0" w:color="auto"/>
              <w:bottom w:val="single" w:sz="6" w:space="0" w:color="auto"/>
              <w:right w:val="single" w:sz="6" w:space="0" w:color="auto"/>
            </w:tcBorders>
            <w:shd w:val="clear" w:color="auto" w:fill="auto"/>
            <w:hideMark/>
          </w:tcPr>
          <w:p w14:paraId="0B3F1E52" w14:textId="65FFC6D1" w:rsidR="006D3F61" w:rsidRPr="006D3F61" w:rsidRDefault="003946AB" w:rsidP="006D3F61">
            <w:pPr>
              <w:rPr>
                <w:lang w:val="en-US"/>
              </w:rPr>
            </w:pPr>
            <w:r>
              <w:rPr>
                <w:b/>
                <w:bCs/>
              </w:rPr>
              <w:t>Learning Partner for 5-year Civil Society programme</w:t>
            </w:r>
            <w:r w:rsidR="006D3F61" w:rsidRPr="006D3F61">
              <w:rPr>
                <w:lang w:val="en-US"/>
              </w:rPr>
              <w:t> </w:t>
            </w:r>
          </w:p>
        </w:tc>
      </w:tr>
      <w:tr w:rsidR="006D3F61" w:rsidRPr="006D3F61" w14:paraId="7FD97962" w14:textId="77777777" w:rsidTr="006D3F61">
        <w:trPr>
          <w:trHeight w:val="300"/>
        </w:trPr>
        <w:tc>
          <w:tcPr>
            <w:tcW w:w="2553" w:type="dxa"/>
            <w:tcBorders>
              <w:top w:val="single" w:sz="6" w:space="0" w:color="auto"/>
              <w:left w:val="single" w:sz="6" w:space="0" w:color="auto"/>
              <w:bottom w:val="single" w:sz="6" w:space="0" w:color="auto"/>
              <w:right w:val="single" w:sz="6" w:space="0" w:color="auto"/>
            </w:tcBorders>
            <w:shd w:val="clear" w:color="auto" w:fill="auto"/>
            <w:hideMark/>
          </w:tcPr>
          <w:p w14:paraId="792B30D6" w14:textId="77777777" w:rsidR="006D3F61" w:rsidRPr="006D3F61" w:rsidRDefault="006D3F61" w:rsidP="006D3F61">
            <w:pPr>
              <w:rPr>
                <w:lang w:val="en-US"/>
              </w:rPr>
            </w:pPr>
            <w:r w:rsidRPr="006D3F61">
              <w:rPr>
                <w:b/>
                <w:bCs/>
              </w:rPr>
              <w:t>Reporting to:</w:t>
            </w:r>
            <w:r w:rsidRPr="006D3F61">
              <w:rPr>
                <w:lang w:val="en-US"/>
              </w:rPr>
              <w:t> </w:t>
            </w:r>
          </w:p>
        </w:tc>
        <w:tc>
          <w:tcPr>
            <w:tcW w:w="7512" w:type="dxa"/>
            <w:tcBorders>
              <w:top w:val="single" w:sz="6" w:space="0" w:color="auto"/>
              <w:left w:val="single" w:sz="6" w:space="0" w:color="auto"/>
              <w:bottom w:val="single" w:sz="6" w:space="0" w:color="auto"/>
              <w:right w:val="single" w:sz="6" w:space="0" w:color="auto"/>
            </w:tcBorders>
            <w:shd w:val="clear" w:color="auto" w:fill="auto"/>
            <w:hideMark/>
          </w:tcPr>
          <w:p w14:paraId="08FD7E0D" w14:textId="77777777" w:rsidR="006D3F61" w:rsidRPr="006D3F61" w:rsidRDefault="006D3F61" w:rsidP="006D3F61">
            <w:pPr>
              <w:rPr>
                <w:lang w:val="en-US"/>
              </w:rPr>
            </w:pPr>
            <w:r w:rsidRPr="006D3F61">
              <w:t>Beate Thoresen</w:t>
            </w:r>
            <w:r w:rsidRPr="006D3F61">
              <w:rPr>
                <w:lang w:val="en-US"/>
              </w:rPr>
              <w:t> </w:t>
            </w:r>
          </w:p>
        </w:tc>
      </w:tr>
      <w:tr w:rsidR="006D3F61" w:rsidRPr="006D3F61" w14:paraId="55FCD326" w14:textId="77777777" w:rsidTr="006D3F61">
        <w:trPr>
          <w:trHeight w:val="300"/>
        </w:trPr>
        <w:tc>
          <w:tcPr>
            <w:tcW w:w="2553" w:type="dxa"/>
            <w:tcBorders>
              <w:top w:val="single" w:sz="6" w:space="0" w:color="auto"/>
              <w:left w:val="single" w:sz="6" w:space="0" w:color="auto"/>
              <w:bottom w:val="single" w:sz="6" w:space="0" w:color="auto"/>
              <w:right w:val="single" w:sz="6" w:space="0" w:color="auto"/>
            </w:tcBorders>
            <w:shd w:val="clear" w:color="auto" w:fill="auto"/>
            <w:hideMark/>
          </w:tcPr>
          <w:p w14:paraId="55129B70" w14:textId="77777777" w:rsidR="006D3F61" w:rsidRPr="006D3F61" w:rsidRDefault="006D3F61" w:rsidP="006D3F61">
            <w:pPr>
              <w:rPr>
                <w:lang w:val="en-US"/>
              </w:rPr>
            </w:pPr>
            <w:r w:rsidRPr="006D3F61">
              <w:rPr>
                <w:b/>
                <w:bCs/>
              </w:rPr>
              <w:t>NPA offices:</w:t>
            </w:r>
            <w:r w:rsidRPr="006D3F61">
              <w:rPr>
                <w:lang w:val="en-US"/>
              </w:rPr>
              <w:t> </w:t>
            </w:r>
          </w:p>
        </w:tc>
        <w:tc>
          <w:tcPr>
            <w:tcW w:w="7512" w:type="dxa"/>
            <w:tcBorders>
              <w:top w:val="single" w:sz="6" w:space="0" w:color="auto"/>
              <w:left w:val="single" w:sz="6" w:space="0" w:color="auto"/>
              <w:bottom w:val="single" w:sz="6" w:space="0" w:color="auto"/>
              <w:right w:val="single" w:sz="6" w:space="0" w:color="auto"/>
            </w:tcBorders>
            <w:shd w:val="clear" w:color="auto" w:fill="auto"/>
            <w:hideMark/>
          </w:tcPr>
          <w:p w14:paraId="087A1407" w14:textId="0BBBF059" w:rsidR="006D3F61" w:rsidRPr="006D3F61" w:rsidRDefault="006D3F61" w:rsidP="006D3F61">
            <w:pPr>
              <w:rPr>
                <w:lang w:val="en-US"/>
              </w:rPr>
            </w:pPr>
            <w:r w:rsidRPr="006D3F61">
              <w:rPr>
                <w:b/>
                <w:bCs/>
              </w:rPr>
              <w:t>Head Office</w:t>
            </w:r>
            <w:r w:rsidR="00B45CD3">
              <w:rPr>
                <w:b/>
                <w:bCs/>
              </w:rPr>
              <w:t>:</w:t>
            </w:r>
            <w:r w:rsidRPr="006D3F61">
              <w:rPr>
                <w:b/>
                <w:bCs/>
              </w:rPr>
              <w:t xml:space="preserve"> Oslo, Norway</w:t>
            </w:r>
            <w:r w:rsidRPr="006D3F61">
              <w:rPr>
                <w:lang w:val="en-US"/>
              </w:rPr>
              <w:t> </w:t>
            </w:r>
          </w:p>
          <w:p w14:paraId="4E5F0E0F" w14:textId="44004E30" w:rsidR="006D3F61" w:rsidRPr="006D3F61" w:rsidRDefault="006D3F61" w:rsidP="006D3F61">
            <w:pPr>
              <w:rPr>
                <w:lang w:val="en-US"/>
              </w:rPr>
            </w:pPr>
            <w:r w:rsidRPr="006D3F61">
              <w:rPr>
                <w:b/>
                <w:bCs/>
              </w:rPr>
              <w:t>Country and Regional Offices:</w:t>
            </w:r>
            <w:r w:rsidRPr="006D3F61">
              <w:rPr>
                <w:lang w:val="en-US"/>
              </w:rPr>
              <w:t> </w:t>
            </w:r>
          </w:p>
          <w:p w14:paraId="2FAB3429" w14:textId="593DB246" w:rsidR="006D3F61" w:rsidRPr="006D3F61" w:rsidRDefault="002054EF" w:rsidP="006D3F61">
            <w:pPr>
              <w:numPr>
                <w:ilvl w:val="0"/>
                <w:numId w:val="47"/>
              </w:numPr>
              <w:rPr>
                <w:lang w:val="en-US"/>
              </w:rPr>
            </w:pPr>
            <w:r>
              <w:t>Programming in 17 countries across</w:t>
            </w:r>
            <w:r w:rsidR="00BC4989">
              <w:t xml:space="preserve"> Latin America, Africa</w:t>
            </w:r>
            <w:r w:rsidR="007E7E97">
              <w:t>, Southeast Asia</w:t>
            </w:r>
            <w:r w:rsidR="00D8681C">
              <w:t xml:space="preserve">, </w:t>
            </w:r>
            <w:r w:rsidR="00E2001B">
              <w:t>MENA, and Ukraine</w:t>
            </w:r>
          </w:p>
        </w:tc>
      </w:tr>
      <w:tr w:rsidR="006D3F61" w:rsidRPr="006D3F61" w14:paraId="18335F19" w14:textId="77777777" w:rsidTr="006D3F61">
        <w:trPr>
          <w:trHeight w:val="300"/>
        </w:trPr>
        <w:tc>
          <w:tcPr>
            <w:tcW w:w="2553" w:type="dxa"/>
            <w:tcBorders>
              <w:top w:val="single" w:sz="6" w:space="0" w:color="auto"/>
              <w:left w:val="single" w:sz="6" w:space="0" w:color="auto"/>
              <w:bottom w:val="single" w:sz="6" w:space="0" w:color="auto"/>
              <w:right w:val="single" w:sz="6" w:space="0" w:color="auto"/>
            </w:tcBorders>
            <w:shd w:val="clear" w:color="auto" w:fill="auto"/>
            <w:hideMark/>
          </w:tcPr>
          <w:p w14:paraId="5F3D32DE" w14:textId="77777777" w:rsidR="006D3F61" w:rsidRPr="006D3F61" w:rsidRDefault="006D3F61" w:rsidP="006D3F61">
            <w:pPr>
              <w:rPr>
                <w:lang w:val="en-US"/>
              </w:rPr>
            </w:pPr>
            <w:r w:rsidRPr="006D3F61">
              <w:rPr>
                <w:b/>
                <w:bCs/>
              </w:rPr>
              <w:t>Provisional timeframe:</w:t>
            </w:r>
            <w:r w:rsidRPr="006D3F61">
              <w:rPr>
                <w:lang w:val="en-US"/>
              </w:rPr>
              <w:t> </w:t>
            </w:r>
          </w:p>
        </w:tc>
        <w:tc>
          <w:tcPr>
            <w:tcW w:w="7512" w:type="dxa"/>
            <w:tcBorders>
              <w:top w:val="single" w:sz="6" w:space="0" w:color="auto"/>
              <w:left w:val="single" w:sz="6" w:space="0" w:color="auto"/>
              <w:bottom w:val="single" w:sz="6" w:space="0" w:color="auto"/>
              <w:right w:val="single" w:sz="6" w:space="0" w:color="auto"/>
            </w:tcBorders>
            <w:shd w:val="clear" w:color="auto" w:fill="auto"/>
            <w:hideMark/>
          </w:tcPr>
          <w:p w14:paraId="49D5553A" w14:textId="392C2544" w:rsidR="006D3F61" w:rsidRPr="006D3F61" w:rsidRDefault="007707CA" w:rsidP="006D3F61">
            <w:pPr>
              <w:rPr>
                <w:lang w:val="en-US"/>
              </w:rPr>
            </w:pPr>
            <w:r>
              <w:t xml:space="preserve"> 220</w:t>
            </w:r>
            <w:r w:rsidR="006D3F61" w:rsidRPr="006D3F61">
              <w:t xml:space="preserve"> working days</w:t>
            </w:r>
            <w:r w:rsidR="006D3F61" w:rsidRPr="006D3F61">
              <w:rPr>
                <w:lang w:val="en-US"/>
              </w:rPr>
              <w:t> </w:t>
            </w:r>
            <w:r>
              <w:rPr>
                <w:lang w:val="en-US"/>
              </w:rPr>
              <w:t xml:space="preserve">from </w:t>
            </w:r>
            <w:r w:rsidR="00F469C9">
              <w:rPr>
                <w:lang w:val="en-US"/>
              </w:rPr>
              <w:t xml:space="preserve">June 2025 </w:t>
            </w:r>
            <w:r w:rsidR="008D656A">
              <w:rPr>
                <w:lang w:val="en-US"/>
              </w:rPr>
              <w:t>–</w:t>
            </w:r>
            <w:r w:rsidR="00F469C9">
              <w:rPr>
                <w:lang w:val="en-US"/>
              </w:rPr>
              <w:t xml:space="preserve"> </w:t>
            </w:r>
            <w:r w:rsidR="008D656A">
              <w:rPr>
                <w:lang w:val="en-US"/>
              </w:rPr>
              <w:t>December 2029</w:t>
            </w:r>
          </w:p>
        </w:tc>
      </w:tr>
      <w:tr w:rsidR="006D3F61" w:rsidRPr="006D3F61" w14:paraId="248DCC7B" w14:textId="77777777" w:rsidTr="006D3F61">
        <w:trPr>
          <w:trHeight w:val="300"/>
        </w:trPr>
        <w:tc>
          <w:tcPr>
            <w:tcW w:w="2553" w:type="dxa"/>
            <w:tcBorders>
              <w:top w:val="single" w:sz="6" w:space="0" w:color="auto"/>
              <w:left w:val="single" w:sz="6" w:space="0" w:color="auto"/>
              <w:bottom w:val="single" w:sz="6" w:space="0" w:color="auto"/>
              <w:right w:val="single" w:sz="6" w:space="0" w:color="auto"/>
            </w:tcBorders>
            <w:shd w:val="clear" w:color="auto" w:fill="auto"/>
            <w:hideMark/>
          </w:tcPr>
          <w:p w14:paraId="05D4116F" w14:textId="77777777" w:rsidR="006D3F61" w:rsidRPr="006D3F61" w:rsidRDefault="006D3F61" w:rsidP="006D3F61">
            <w:pPr>
              <w:rPr>
                <w:lang w:val="en-US"/>
              </w:rPr>
            </w:pPr>
            <w:r w:rsidRPr="006D3F61">
              <w:rPr>
                <w:b/>
                <w:bCs/>
              </w:rPr>
              <w:t>Tentative start date:</w:t>
            </w:r>
            <w:r w:rsidRPr="006D3F61">
              <w:rPr>
                <w:lang w:val="en-US"/>
              </w:rPr>
              <w:t> </w:t>
            </w:r>
          </w:p>
        </w:tc>
        <w:tc>
          <w:tcPr>
            <w:tcW w:w="7512" w:type="dxa"/>
            <w:tcBorders>
              <w:top w:val="single" w:sz="6" w:space="0" w:color="auto"/>
              <w:left w:val="single" w:sz="6" w:space="0" w:color="auto"/>
              <w:bottom w:val="single" w:sz="6" w:space="0" w:color="auto"/>
              <w:right w:val="single" w:sz="6" w:space="0" w:color="auto"/>
            </w:tcBorders>
            <w:shd w:val="clear" w:color="auto" w:fill="auto"/>
            <w:hideMark/>
          </w:tcPr>
          <w:p w14:paraId="33AD9083" w14:textId="3426B3E7" w:rsidR="006D3F61" w:rsidRPr="006D3F61" w:rsidRDefault="000F40CF" w:rsidP="006D3F61">
            <w:pPr>
              <w:rPr>
                <w:lang w:val="en-US"/>
              </w:rPr>
            </w:pPr>
            <w:r>
              <w:t xml:space="preserve"> 1 June</w:t>
            </w:r>
            <w:r w:rsidR="00B45CD3">
              <w:t xml:space="preserve"> 2025</w:t>
            </w:r>
            <w:r w:rsidR="006D3F61" w:rsidRPr="006D3F61">
              <w:rPr>
                <w:lang w:val="en-US"/>
              </w:rPr>
              <w:t> </w:t>
            </w:r>
          </w:p>
        </w:tc>
      </w:tr>
    </w:tbl>
    <w:p w14:paraId="05BB3E0E" w14:textId="77777777" w:rsidR="006D3F61" w:rsidRPr="006D3F61" w:rsidRDefault="006D3F61" w:rsidP="006D3F61"/>
    <w:p w14:paraId="6B328396" w14:textId="62F49073" w:rsidR="002D1101" w:rsidRPr="00085709" w:rsidRDefault="09F5F920" w:rsidP="00A94B38">
      <w:pPr>
        <w:pStyle w:val="Heading1"/>
        <w:numPr>
          <w:ilvl w:val="0"/>
          <w:numId w:val="37"/>
        </w:numPr>
        <w:jc w:val="both"/>
      </w:pPr>
      <w:r w:rsidRPr="00085709">
        <w:t>Background</w:t>
      </w:r>
    </w:p>
    <w:p w14:paraId="6C54F757" w14:textId="04B7C06F" w:rsidR="0038527D" w:rsidRDefault="00404165" w:rsidP="0590BFB8">
      <w:pPr>
        <w:jc w:val="both"/>
        <w:rPr>
          <w:rFonts w:eastAsia="Segoe UI"/>
          <w:color w:val="333333"/>
        </w:rPr>
      </w:pPr>
      <w:r>
        <w:t xml:space="preserve">The Norwegian People’s Aid (NPA) is a non-governmental organisation with roots in </w:t>
      </w:r>
      <w:r w:rsidR="00C00776">
        <w:t>the</w:t>
      </w:r>
      <w:r>
        <w:t xml:space="preserve"> labour movement. NPA supports processes towards democracy and equitable distribution of power </w:t>
      </w:r>
      <w:r w:rsidR="0D41E2AA">
        <w:t xml:space="preserve">and resources </w:t>
      </w:r>
      <w:r>
        <w:t>through mobilisation, popular participation and collective organisation</w:t>
      </w:r>
      <w:r w:rsidRPr="0590BFB8">
        <w:t xml:space="preserve">. </w:t>
      </w:r>
      <w:r w:rsidR="5703EA17" w:rsidRPr="0590BFB8">
        <w:rPr>
          <w:rFonts w:eastAsia="Segoe UI"/>
          <w:color w:val="333333"/>
        </w:rPr>
        <w:t xml:space="preserve"> We have extensive experience in supporting democracy and the equitable distribution of power and resources in cooperation with civil society organisations. Increasing inequality, the struggle over natural resources and increased levels of conflict throughout the world are also increasing the need to ensure democratic participation and an organised civil society that can represent all groups in society, especially those who are </w:t>
      </w:r>
      <w:r w:rsidR="173BE938" w:rsidRPr="0590BFB8">
        <w:rPr>
          <w:rFonts w:eastAsia="Segoe UI"/>
          <w:color w:val="333333"/>
        </w:rPr>
        <w:t>oppressed</w:t>
      </w:r>
      <w:r w:rsidR="5703EA17" w:rsidRPr="0590BFB8">
        <w:rPr>
          <w:rFonts w:eastAsia="Segoe UI"/>
          <w:color w:val="333333"/>
        </w:rPr>
        <w:t>, marginalised or subject to discrimination. Strong civil societies are often a prerequisite for effective peace efforts and conflict resolution. We will therefore increase and further develop our civil society programmes in the coming years to strengthen people’s ability to organise themselves to enhance the struggle for fundamental rights and equitable distribution of resources.</w:t>
      </w:r>
    </w:p>
    <w:p w14:paraId="00968167" w14:textId="12123DE1" w:rsidR="002F1442" w:rsidRDefault="008A61CA" w:rsidP="00DE2C35">
      <w:pPr>
        <w:jc w:val="both"/>
      </w:pPr>
      <w:r>
        <w:t xml:space="preserve">NPA is embarking on </w:t>
      </w:r>
      <w:r w:rsidR="00636BF2">
        <w:t>a</w:t>
      </w:r>
      <w:r>
        <w:t xml:space="preserve"> Strategic 5-year partnership with Norad</w:t>
      </w:r>
      <w:r w:rsidR="00D85613">
        <w:t xml:space="preserve">, beginning in 2025 and building on </w:t>
      </w:r>
      <w:r w:rsidR="00636BF2">
        <w:t xml:space="preserve">previous programming. </w:t>
      </w:r>
      <w:r w:rsidR="004F5C68">
        <w:t>The p</w:t>
      </w:r>
      <w:r w:rsidR="009D598A">
        <w:t xml:space="preserve">rogramming as part of this partnership takes place in </w:t>
      </w:r>
      <w:r w:rsidR="332C9E5F">
        <w:t>18</w:t>
      </w:r>
      <w:r w:rsidR="009D598A">
        <w:t xml:space="preserve"> countries across </w:t>
      </w:r>
      <w:r w:rsidR="0027372C">
        <w:t>Latin America, the Middle East, Africa</w:t>
      </w:r>
      <w:r w:rsidR="005111A3">
        <w:t xml:space="preserve">, Asia and Europe.  In the next iteration of this partnership, NPA is putting a greater emphasis on </w:t>
      </w:r>
      <w:r w:rsidR="003603A0">
        <w:t>learning, research and evaluation</w:t>
      </w:r>
      <w:r w:rsidR="00F60585">
        <w:t xml:space="preserve">, and </w:t>
      </w:r>
      <w:r w:rsidR="00E058C3">
        <w:t>developing a more rigorous evidence base</w:t>
      </w:r>
      <w:r w:rsidR="00A55D5C">
        <w:t xml:space="preserve"> from our work.</w:t>
      </w:r>
      <w:r w:rsidR="00766D73">
        <w:t xml:space="preserve">  We are seeking a </w:t>
      </w:r>
      <w:r w:rsidR="00446255">
        <w:t>partnership with a research inst</w:t>
      </w:r>
      <w:r w:rsidR="00131C98">
        <w:t>itute, academic, institute, research and evaluation firm, etc. to provide the technical capacity</w:t>
      </w:r>
      <w:r w:rsidR="00A60E53">
        <w:t xml:space="preserve"> to </w:t>
      </w:r>
      <w:r w:rsidR="00D12146">
        <w:t xml:space="preserve">support us with the development and </w:t>
      </w:r>
      <w:r w:rsidR="007161B9">
        <w:t>implement</w:t>
      </w:r>
      <w:r w:rsidR="00D12146">
        <w:t>ation of</w:t>
      </w:r>
      <w:r w:rsidR="007161B9">
        <w:t xml:space="preserve"> a research and learning agenda</w:t>
      </w:r>
      <w:r w:rsidR="006C7E8B">
        <w:t xml:space="preserve"> for the </w:t>
      </w:r>
      <w:r w:rsidR="007161B9">
        <w:t>5-year period.</w:t>
      </w:r>
    </w:p>
    <w:p w14:paraId="1CDA1635" w14:textId="77777777" w:rsidR="005169B4" w:rsidRPr="00085709" w:rsidRDefault="005169B4" w:rsidP="00DE2C35">
      <w:pPr>
        <w:jc w:val="both"/>
      </w:pPr>
    </w:p>
    <w:p w14:paraId="46CF5A69" w14:textId="1C959C33" w:rsidR="002F31F7" w:rsidRPr="00085709" w:rsidRDefault="09F5F920" w:rsidP="00A94B38">
      <w:pPr>
        <w:pStyle w:val="Heading1"/>
        <w:numPr>
          <w:ilvl w:val="0"/>
          <w:numId w:val="37"/>
        </w:numPr>
        <w:jc w:val="both"/>
      </w:pPr>
      <w:r w:rsidRPr="00085709">
        <w:t xml:space="preserve">Purpose of the </w:t>
      </w:r>
      <w:r w:rsidR="004F5C68">
        <w:t>Learning Partnership</w:t>
      </w:r>
    </w:p>
    <w:p w14:paraId="0C21320F" w14:textId="08C428DF" w:rsidR="00920355" w:rsidRDefault="00D3744C" w:rsidP="00DE2C35">
      <w:pPr>
        <w:jc w:val="both"/>
      </w:pPr>
      <w:r>
        <w:t>NPA has developed a new global Theory of Change (</w:t>
      </w:r>
      <w:proofErr w:type="spellStart"/>
      <w:r>
        <w:t>ToC</w:t>
      </w:r>
      <w:proofErr w:type="spellEnd"/>
      <w:r>
        <w:t xml:space="preserve">) for our civil society portfolio </w:t>
      </w:r>
      <w:r w:rsidR="00F1113F">
        <w:t xml:space="preserve">(annexed below) </w:t>
      </w:r>
      <w:r>
        <w:t>that</w:t>
      </w:r>
      <w:r w:rsidR="00EB6C56">
        <w:t xml:space="preserve"> guides the</w:t>
      </w:r>
      <w:r w:rsidR="000C2C3F">
        <w:t xml:space="preserve"> design of all country programming within the</w:t>
      </w:r>
      <w:r w:rsidR="002A1106">
        <w:t xml:space="preserve"> Norad strategic partnership.  We have also developed a set of global indicators </w:t>
      </w:r>
      <w:r w:rsidR="005533C0">
        <w:t xml:space="preserve">to measure key results in the global </w:t>
      </w:r>
      <w:proofErr w:type="spellStart"/>
      <w:r w:rsidR="005533C0">
        <w:t>ToC</w:t>
      </w:r>
      <w:proofErr w:type="spellEnd"/>
      <w:r w:rsidR="005533C0">
        <w:t>.</w:t>
      </w:r>
      <w:r w:rsidR="00B30F53">
        <w:t xml:space="preserve"> </w:t>
      </w:r>
    </w:p>
    <w:p w14:paraId="0A31B11A" w14:textId="77777777" w:rsidR="008C0450" w:rsidRDefault="006B4A24" w:rsidP="00DE2C35">
      <w:pPr>
        <w:jc w:val="both"/>
      </w:pPr>
      <w:r>
        <w:t>Using this conceptual</w:t>
      </w:r>
      <w:r w:rsidR="0053760E">
        <w:t xml:space="preserve"> global framework</w:t>
      </w:r>
      <w:r w:rsidR="00920355">
        <w:t xml:space="preserve"> as a foundation for learning and measuring results</w:t>
      </w:r>
      <w:r w:rsidR="0053760E">
        <w:t xml:space="preserve">, we are seeking a </w:t>
      </w:r>
      <w:r w:rsidR="00246B0B">
        <w:t>research partner to support us with</w:t>
      </w:r>
      <w:r w:rsidR="00467538">
        <w:t xml:space="preserve"> the development of a learning agenda.  The learning agenda should be developed in a participatory way with country offices</w:t>
      </w:r>
      <w:r w:rsidR="005C6C02">
        <w:t>.</w:t>
      </w:r>
      <w:r w:rsidR="0042476F">
        <w:t xml:space="preserve"> The research partner </w:t>
      </w:r>
      <w:r w:rsidR="00391FC9">
        <w:t>will facilitate</w:t>
      </w:r>
      <w:r w:rsidR="00893C12">
        <w:t xml:space="preserve"> the identification of strategic results and result pathways from the </w:t>
      </w:r>
      <w:proofErr w:type="spellStart"/>
      <w:r w:rsidR="00893C12">
        <w:t>ToC</w:t>
      </w:r>
      <w:proofErr w:type="spellEnd"/>
      <w:r w:rsidR="00893C12">
        <w:t xml:space="preserve"> to prioritize for learning</w:t>
      </w:r>
      <w:r w:rsidR="00D92EC3">
        <w:t xml:space="preserve"> in order to develop research questions that will be explored for the duration of the programming.</w:t>
      </w:r>
      <w:r w:rsidR="00583635">
        <w:t xml:space="preserve"> The research partner will support the identification of strategic programming moments for data collection and analysis, and the production of learning products for internal and external audiences.</w:t>
      </w:r>
    </w:p>
    <w:p w14:paraId="70D18FCB" w14:textId="77777777" w:rsidR="008C0450" w:rsidRDefault="008C0450" w:rsidP="00A94B38">
      <w:pPr>
        <w:pStyle w:val="Heading4"/>
      </w:pPr>
      <w:r>
        <w:t>Key outputs:</w:t>
      </w:r>
    </w:p>
    <w:p w14:paraId="28AB8347" w14:textId="07DE8A16" w:rsidR="008C0450" w:rsidRDefault="008C0450" w:rsidP="008C0450">
      <w:pPr>
        <w:pStyle w:val="ListParagraph"/>
        <w:numPr>
          <w:ilvl w:val="0"/>
          <w:numId w:val="34"/>
        </w:numPr>
        <w:jc w:val="both"/>
      </w:pPr>
      <w:r>
        <w:t>A written learning agenda with research questions and learning plan</w:t>
      </w:r>
      <w:r w:rsidR="00E11C9C">
        <w:t>; including a global learning agenda development workshop</w:t>
      </w:r>
    </w:p>
    <w:p w14:paraId="477B60EF" w14:textId="08A673CD" w:rsidR="002D4154" w:rsidRDefault="00E12264" w:rsidP="00E12264">
      <w:pPr>
        <w:pStyle w:val="ListParagraph"/>
        <w:numPr>
          <w:ilvl w:val="0"/>
          <w:numId w:val="34"/>
        </w:numPr>
        <w:jc w:val="both"/>
      </w:pPr>
      <w:r>
        <w:t>Identifying key indicators within the global indicator set to support with tools and methods, as well as gaps in the results framework and developing global indicators as needed</w:t>
      </w:r>
    </w:p>
    <w:p w14:paraId="6980831D" w14:textId="77777777" w:rsidR="00E12264" w:rsidRDefault="00E12264" w:rsidP="00E12264">
      <w:pPr>
        <w:pStyle w:val="ListParagraph"/>
        <w:numPr>
          <w:ilvl w:val="0"/>
          <w:numId w:val="34"/>
        </w:numPr>
        <w:jc w:val="both"/>
      </w:pPr>
      <w:r>
        <w:t>Identifying and providing support and guidance to NPA country offices to use a variety of methods to collect and analyse both quantitative and qualitative data, based on prioritized indicators and result areas</w:t>
      </w:r>
    </w:p>
    <w:p w14:paraId="0526B8B1" w14:textId="77777777" w:rsidR="00E12264" w:rsidRDefault="00E12264" w:rsidP="00E12264">
      <w:pPr>
        <w:pStyle w:val="ListParagraph"/>
        <w:numPr>
          <w:ilvl w:val="0"/>
          <w:numId w:val="34"/>
        </w:numPr>
        <w:jc w:val="both"/>
      </w:pPr>
      <w:r>
        <w:t>Leading key, strategic data collection and analysis exercises (evaluations, after action reviews, case studies, etc) for the identified learning products</w:t>
      </w:r>
    </w:p>
    <w:p w14:paraId="39880C75" w14:textId="15CD3AE2" w:rsidR="00E12264" w:rsidRPr="00085709" w:rsidRDefault="00E12264" w:rsidP="00E12264">
      <w:pPr>
        <w:pStyle w:val="ListParagraph"/>
        <w:numPr>
          <w:ilvl w:val="0"/>
          <w:numId w:val="34"/>
        </w:numPr>
        <w:jc w:val="both"/>
      </w:pPr>
      <w:r>
        <w:t>Leading at least 2 global learning workshops at the mid and end-point of the 5-year programme to collectively analyse global produced evidence, ensure cross-country knowledge transfer, identify trends and highlight key findings</w:t>
      </w:r>
      <w:r w:rsidR="00E11C9C">
        <w:t>; producing to learning reports</w:t>
      </w:r>
    </w:p>
    <w:p w14:paraId="61D2A7E9" w14:textId="77777777" w:rsidR="00E12264" w:rsidRDefault="00E12264" w:rsidP="00E12264">
      <w:pPr>
        <w:pStyle w:val="ListParagraph"/>
        <w:jc w:val="both"/>
      </w:pPr>
    </w:p>
    <w:p w14:paraId="15448ABF" w14:textId="77777777" w:rsidR="000B2C96" w:rsidRDefault="000B2C96" w:rsidP="00DE2C35">
      <w:pPr>
        <w:pStyle w:val="Heading2"/>
        <w:jc w:val="both"/>
      </w:pPr>
    </w:p>
    <w:p w14:paraId="6A4C9998" w14:textId="76ADC2F3" w:rsidR="00CA22D8" w:rsidRPr="00CA22D8" w:rsidRDefault="000B2C96" w:rsidP="00A94B38">
      <w:pPr>
        <w:pStyle w:val="Heading4"/>
      </w:pPr>
      <w:r>
        <w:t>Key Stakeholders</w:t>
      </w:r>
    </w:p>
    <w:p w14:paraId="413B1198" w14:textId="0F0C9833" w:rsidR="0076510B" w:rsidRDefault="0076510B" w:rsidP="0076510B">
      <w:pPr>
        <w:pStyle w:val="ListParagraph"/>
        <w:numPr>
          <w:ilvl w:val="0"/>
          <w:numId w:val="35"/>
        </w:numPr>
        <w:jc w:val="both"/>
      </w:pPr>
      <w:r w:rsidRPr="00CA22D8">
        <w:rPr>
          <w:u w:val="single"/>
        </w:rPr>
        <w:t>NPA colleagues and partners in country programmes</w:t>
      </w:r>
      <w:r w:rsidR="00D762C2">
        <w:t xml:space="preserve">. </w:t>
      </w:r>
      <w:r w:rsidR="00A52F5B">
        <w:t>Partners and colleagues who are designing and leading programmes have the greatest need to learn about what works and doesn’t to achieve political and social change, as well as</w:t>
      </w:r>
      <w:r w:rsidR="00130FFE">
        <w:t xml:space="preserve"> </w:t>
      </w:r>
      <w:r w:rsidR="00441B81">
        <w:t>the ability to link their activities to higher-level change.</w:t>
      </w:r>
    </w:p>
    <w:p w14:paraId="05A02AD5" w14:textId="7E2D99B9" w:rsidR="0076510B" w:rsidRDefault="003327DA" w:rsidP="0076510B">
      <w:pPr>
        <w:pStyle w:val="ListParagraph"/>
        <w:numPr>
          <w:ilvl w:val="0"/>
          <w:numId w:val="35"/>
        </w:numPr>
        <w:jc w:val="both"/>
      </w:pPr>
      <w:r w:rsidRPr="00CA22D8">
        <w:rPr>
          <w:u w:val="single"/>
        </w:rPr>
        <w:t>NPA colleagues in H</w:t>
      </w:r>
      <w:r w:rsidR="00660423" w:rsidRPr="00CA22D8">
        <w:rPr>
          <w:u w:val="single"/>
        </w:rPr>
        <w:t>ead Office (HO).</w:t>
      </w:r>
      <w:r w:rsidR="00660423">
        <w:t xml:space="preserve"> </w:t>
      </w:r>
      <w:r w:rsidR="005F1331">
        <w:t>Head Office colleagues play an important role in facilitating cross-organisational learning, ensuring that learning is incorporated</w:t>
      </w:r>
      <w:r w:rsidR="00792560">
        <w:t xml:space="preserve"> into new programme design, and communicating organisational learning and impact to </w:t>
      </w:r>
      <w:r w:rsidR="00AB4A40">
        <w:t>important external stakeholders and audiences.</w:t>
      </w:r>
    </w:p>
    <w:p w14:paraId="5BB8CEC9" w14:textId="40AADB94" w:rsidR="003327DA" w:rsidRDefault="00B71CAB" w:rsidP="0076510B">
      <w:pPr>
        <w:pStyle w:val="ListParagraph"/>
        <w:numPr>
          <w:ilvl w:val="0"/>
          <w:numId w:val="35"/>
        </w:numPr>
        <w:jc w:val="both"/>
      </w:pPr>
      <w:r w:rsidRPr="00CA22D8">
        <w:rPr>
          <w:u w:val="single"/>
        </w:rPr>
        <w:lastRenderedPageBreak/>
        <w:t>Donors and</w:t>
      </w:r>
      <w:r w:rsidR="000740E7" w:rsidRPr="00CA22D8">
        <w:rPr>
          <w:u w:val="single"/>
        </w:rPr>
        <w:t xml:space="preserve"> the</w:t>
      </w:r>
      <w:r w:rsidRPr="00CA22D8">
        <w:rPr>
          <w:u w:val="single"/>
        </w:rPr>
        <w:t xml:space="preserve"> broader </w:t>
      </w:r>
      <w:r w:rsidR="000740E7" w:rsidRPr="00CA22D8">
        <w:rPr>
          <w:u w:val="single"/>
        </w:rPr>
        <w:t xml:space="preserve">development </w:t>
      </w:r>
      <w:r w:rsidRPr="00CA22D8">
        <w:rPr>
          <w:u w:val="single"/>
        </w:rPr>
        <w:t>sector</w:t>
      </w:r>
      <w:r w:rsidR="000740E7" w:rsidRPr="00CA22D8">
        <w:rPr>
          <w:u w:val="single"/>
        </w:rPr>
        <w:t>.</w:t>
      </w:r>
      <w:r w:rsidR="000740E7">
        <w:t xml:space="preserve"> There is a growing de</w:t>
      </w:r>
      <w:r w:rsidR="00CD167B">
        <w:t>mand from donors to produce more rigorous evidence of what change is happening and why</w:t>
      </w:r>
      <w:r w:rsidR="0000080C">
        <w:t xml:space="preserve">, and to link donor funding to positive results. In addition, development actors in and outside of Norway are working to better </w:t>
      </w:r>
      <w:r w:rsidR="00192307">
        <w:t>share knowledge a</w:t>
      </w:r>
      <w:r w:rsidR="001E6601">
        <w:t>nd improve the standards, quality and approaches we use in our work.</w:t>
      </w:r>
      <w:r>
        <w:t xml:space="preserve"> </w:t>
      </w:r>
    </w:p>
    <w:p w14:paraId="44917313" w14:textId="77777777" w:rsidR="0076510B" w:rsidRPr="00085709" w:rsidRDefault="0076510B" w:rsidP="00DE2C35">
      <w:pPr>
        <w:jc w:val="both"/>
      </w:pPr>
    </w:p>
    <w:p w14:paraId="7C57AAB7" w14:textId="04D9E16E" w:rsidR="008F2DCF" w:rsidRPr="00FA2BFF" w:rsidRDefault="007B4C68" w:rsidP="00475AF3">
      <w:pPr>
        <w:pStyle w:val="Heading4"/>
        <w:rPr>
          <w:rStyle w:val="IntenseEmphasis"/>
          <w:i/>
          <w:iCs/>
          <w:color w:val="3E762A" w:themeColor="accent1" w:themeShade="BF"/>
        </w:rPr>
      </w:pPr>
      <w:r>
        <w:t xml:space="preserve">Key Learning </w:t>
      </w:r>
      <w:r w:rsidR="009D65A6">
        <w:t>Themes</w:t>
      </w:r>
    </w:p>
    <w:p w14:paraId="0BC02340" w14:textId="5E471BBF" w:rsidR="000A139F" w:rsidRDefault="009D15D1" w:rsidP="0590BFB8">
      <w:pPr>
        <w:jc w:val="both"/>
      </w:pPr>
      <w:r w:rsidRPr="0590BFB8">
        <w:t>The overall goal of the five-year programme is to contribute to societies with reduced social, political and economic inequality</w:t>
      </w:r>
      <w:r w:rsidR="00112866" w:rsidRPr="0590BFB8">
        <w:t>.</w:t>
      </w:r>
      <w:r w:rsidR="00B977B9" w:rsidRPr="0590BFB8">
        <w:t xml:space="preserve"> Our theory of change posits that to achieve this change</w:t>
      </w:r>
      <w:r w:rsidR="003A1F4C" w:rsidRPr="0590BFB8">
        <w:t xml:space="preserve"> we need to </w:t>
      </w:r>
      <w:r w:rsidR="73AD60C0" w:rsidRPr="0590BFB8">
        <w:t xml:space="preserve">cooperate with </w:t>
      </w:r>
      <w:r w:rsidR="003A1F4C" w:rsidRPr="0590BFB8">
        <w:t xml:space="preserve">our local partners </w:t>
      </w:r>
      <w:r w:rsidR="5F40244E" w:rsidRPr="0590BFB8">
        <w:t>to strengthen their organisations</w:t>
      </w:r>
      <w:r w:rsidR="7E0E941D" w:rsidRPr="0590BFB8">
        <w:t xml:space="preserve">, </w:t>
      </w:r>
      <w:r w:rsidR="5F40244E" w:rsidRPr="0590BFB8">
        <w:t>community organising and awareness building</w:t>
      </w:r>
      <w:r w:rsidR="009368AE" w:rsidRPr="0590BFB8">
        <w:t xml:space="preserve">, </w:t>
      </w:r>
      <w:r w:rsidR="547AD3FA" w:rsidRPr="0590BFB8">
        <w:t xml:space="preserve">influence the public discourse, </w:t>
      </w:r>
      <w:r w:rsidR="009368AE" w:rsidRPr="0590BFB8">
        <w:t xml:space="preserve">engage in advocacy with key decision-makers, strengthen local </w:t>
      </w:r>
      <w:r w:rsidR="00F34C44" w:rsidRPr="0590BFB8">
        <w:t>activism</w:t>
      </w:r>
      <w:r w:rsidR="009368AE" w:rsidRPr="0590BFB8">
        <w:t xml:space="preserve">, and engage in </w:t>
      </w:r>
      <w:r w:rsidR="00F34C44" w:rsidRPr="0590BFB8">
        <w:t xml:space="preserve">strategic </w:t>
      </w:r>
      <w:r w:rsidR="00753A5D" w:rsidRPr="0590BFB8">
        <w:t>legal protection and peace-building activities.</w:t>
      </w:r>
    </w:p>
    <w:p w14:paraId="462FE14B" w14:textId="546A2D8F" w:rsidR="004C4604" w:rsidRDefault="004C4604" w:rsidP="00DE2C35">
      <w:pPr>
        <w:jc w:val="both"/>
        <w:rPr>
          <w:rFonts w:cstheme="minorHAnsi"/>
        </w:rPr>
      </w:pPr>
      <w:r>
        <w:rPr>
          <w:rFonts w:cstheme="minorHAnsi"/>
        </w:rPr>
        <w:t xml:space="preserve">We have articulated </w:t>
      </w:r>
      <w:r w:rsidR="00EF3DD8">
        <w:rPr>
          <w:rFonts w:cstheme="minorHAnsi"/>
        </w:rPr>
        <w:t>6</w:t>
      </w:r>
      <w:r>
        <w:rPr>
          <w:rFonts w:cstheme="minorHAnsi"/>
        </w:rPr>
        <w:t xml:space="preserve"> impact level results:</w:t>
      </w:r>
    </w:p>
    <w:p w14:paraId="7FA2AABE" w14:textId="58003EB5" w:rsidR="004C4604" w:rsidRDefault="004C4604" w:rsidP="0590BFB8">
      <w:pPr>
        <w:pStyle w:val="ListParagraph"/>
        <w:numPr>
          <w:ilvl w:val="0"/>
          <w:numId w:val="36"/>
        </w:numPr>
        <w:jc w:val="both"/>
      </w:pPr>
      <w:r w:rsidRPr="0590BFB8">
        <w:t>Organi</w:t>
      </w:r>
      <w:r w:rsidR="0D75521F" w:rsidRPr="0590BFB8">
        <w:t>s</w:t>
      </w:r>
      <w:r w:rsidRPr="0590BFB8">
        <w:t>ed civil society</w:t>
      </w:r>
      <w:r w:rsidR="009D65A6" w:rsidRPr="0590BFB8">
        <w:t xml:space="preserve"> is resilient and mobilizes for change</w:t>
      </w:r>
    </w:p>
    <w:p w14:paraId="0BA5A39D" w14:textId="74E5379D" w:rsidR="009D65A6" w:rsidRDefault="009D65A6" w:rsidP="004C4604">
      <w:pPr>
        <w:pStyle w:val="ListParagraph"/>
        <w:numPr>
          <w:ilvl w:val="0"/>
          <w:numId w:val="36"/>
        </w:numPr>
        <w:jc w:val="both"/>
        <w:rPr>
          <w:rFonts w:cstheme="minorHAnsi"/>
        </w:rPr>
      </w:pPr>
      <w:r>
        <w:rPr>
          <w:rFonts w:cstheme="minorHAnsi"/>
        </w:rPr>
        <w:t>Marginalized groups experience less discrimination</w:t>
      </w:r>
    </w:p>
    <w:p w14:paraId="6B5A6E1D" w14:textId="1EC5C803" w:rsidR="009D65A6" w:rsidRDefault="009D65A6" w:rsidP="004C4604">
      <w:pPr>
        <w:pStyle w:val="ListParagraph"/>
        <w:numPr>
          <w:ilvl w:val="0"/>
          <w:numId w:val="36"/>
        </w:numPr>
        <w:jc w:val="both"/>
        <w:rPr>
          <w:rFonts w:cstheme="minorHAnsi"/>
        </w:rPr>
      </w:pPr>
      <w:r>
        <w:rPr>
          <w:rFonts w:cstheme="minorHAnsi"/>
        </w:rPr>
        <w:t>Policies and</w:t>
      </w:r>
      <w:r w:rsidR="00DD1DEF">
        <w:rPr>
          <w:rFonts w:cstheme="minorHAnsi"/>
        </w:rPr>
        <w:t xml:space="preserve"> practices that protect, enable or improve equal access to rights and resources are passed and implemented</w:t>
      </w:r>
    </w:p>
    <w:p w14:paraId="4C08D99C" w14:textId="75ED9593" w:rsidR="00DD1DEF" w:rsidRDefault="00DD1DEF" w:rsidP="004C4604">
      <w:pPr>
        <w:pStyle w:val="ListParagraph"/>
        <w:numPr>
          <w:ilvl w:val="0"/>
          <w:numId w:val="36"/>
        </w:numPr>
        <w:jc w:val="both"/>
        <w:rPr>
          <w:rFonts w:cstheme="minorHAnsi"/>
        </w:rPr>
      </w:pPr>
      <w:r>
        <w:rPr>
          <w:rFonts w:cstheme="minorHAnsi"/>
        </w:rPr>
        <w:t>Policies and practices restrictive to civil society</w:t>
      </w:r>
      <w:r w:rsidR="00EF3DD8">
        <w:rPr>
          <w:rFonts w:cstheme="minorHAnsi"/>
        </w:rPr>
        <w:t xml:space="preserve"> organizing are prevented or reversed</w:t>
      </w:r>
    </w:p>
    <w:p w14:paraId="5410AD04" w14:textId="09A56352" w:rsidR="00EF3DD8" w:rsidRDefault="00EF3DD8" w:rsidP="004C4604">
      <w:pPr>
        <w:pStyle w:val="ListParagraph"/>
        <w:numPr>
          <w:ilvl w:val="0"/>
          <w:numId w:val="36"/>
        </w:numPr>
        <w:jc w:val="both"/>
        <w:rPr>
          <w:rFonts w:cstheme="minorHAnsi"/>
        </w:rPr>
      </w:pPr>
      <w:r>
        <w:rPr>
          <w:rFonts w:cstheme="minorHAnsi"/>
        </w:rPr>
        <w:t>Local communities and marginalized groups claim and access their rights</w:t>
      </w:r>
    </w:p>
    <w:p w14:paraId="34CFADAD" w14:textId="0A57BBB2" w:rsidR="00EF3DD8" w:rsidRDefault="00EF3DD8" w:rsidP="004C4604">
      <w:pPr>
        <w:pStyle w:val="ListParagraph"/>
        <w:numPr>
          <w:ilvl w:val="0"/>
          <w:numId w:val="36"/>
        </w:numPr>
        <w:jc w:val="both"/>
        <w:rPr>
          <w:rFonts w:cstheme="minorHAnsi"/>
        </w:rPr>
      </w:pPr>
      <w:r w:rsidRPr="5D2A51E6">
        <w:t>Local communities and marginalized groups have greater access to and control over land and natural resources</w:t>
      </w:r>
    </w:p>
    <w:p w14:paraId="4BD9E6DA" w14:textId="77777777" w:rsidR="005169B4" w:rsidRDefault="005169B4" w:rsidP="00DE2C35">
      <w:pPr>
        <w:pStyle w:val="Heading1"/>
        <w:jc w:val="both"/>
      </w:pPr>
    </w:p>
    <w:p w14:paraId="72F3521D" w14:textId="0ECE9EB9" w:rsidR="002F31F7" w:rsidRDefault="00D6478C" w:rsidP="00475AF3">
      <w:pPr>
        <w:pStyle w:val="Heading1"/>
        <w:numPr>
          <w:ilvl w:val="0"/>
          <w:numId w:val="35"/>
        </w:numPr>
        <w:jc w:val="both"/>
      </w:pPr>
      <w:r>
        <w:t xml:space="preserve">Research </w:t>
      </w:r>
      <w:r w:rsidR="0036356F">
        <w:t>Partnership</w:t>
      </w:r>
      <w:r w:rsidR="09F5F920" w:rsidRPr="00085709">
        <w:t xml:space="preserve"> implementation</w:t>
      </w:r>
    </w:p>
    <w:p w14:paraId="1BE37B9E" w14:textId="77777777" w:rsidR="00475AF3" w:rsidRPr="00475AF3" w:rsidRDefault="00475AF3" w:rsidP="00475AF3"/>
    <w:p w14:paraId="5E2B7BAB" w14:textId="148ECB4F" w:rsidR="00B81463" w:rsidRPr="00475AF3" w:rsidRDefault="09F5F920" w:rsidP="00475AF3">
      <w:pPr>
        <w:pStyle w:val="Heading5"/>
      </w:pPr>
      <w:r w:rsidRPr="00085709">
        <w:t>Timeframe</w:t>
      </w:r>
    </w:p>
    <w:tbl>
      <w:tblPr>
        <w:tblStyle w:val="TableGrid"/>
        <w:tblW w:w="0" w:type="auto"/>
        <w:tblLook w:val="04A0" w:firstRow="1" w:lastRow="0" w:firstColumn="1" w:lastColumn="0" w:noHBand="0" w:noVBand="1"/>
      </w:tblPr>
      <w:tblGrid>
        <w:gridCol w:w="2337"/>
        <w:gridCol w:w="2761"/>
        <w:gridCol w:w="1914"/>
        <w:gridCol w:w="2338"/>
      </w:tblGrid>
      <w:tr w:rsidR="007D71EE" w:rsidRPr="00644B86" w14:paraId="377C72D8" w14:textId="77777777" w:rsidTr="000A7EA4">
        <w:tc>
          <w:tcPr>
            <w:tcW w:w="2337" w:type="dxa"/>
          </w:tcPr>
          <w:p w14:paraId="7C08B2FD" w14:textId="12DF3A9C" w:rsidR="007D71EE" w:rsidRPr="00644B86" w:rsidRDefault="007D71EE" w:rsidP="008265D2">
            <w:pPr>
              <w:jc w:val="both"/>
              <w:rPr>
                <w:b/>
                <w:bCs/>
                <w:sz w:val="20"/>
                <w:szCs w:val="20"/>
                <w:lang w:val="en-US" w:eastAsia="en-US"/>
              </w:rPr>
            </w:pPr>
            <w:r w:rsidRPr="00644B86">
              <w:rPr>
                <w:b/>
                <w:bCs/>
                <w:sz w:val="20"/>
                <w:szCs w:val="20"/>
                <w:lang w:val="en-US" w:eastAsia="en-US"/>
              </w:rPr>
              <w:t>Year</w:t>
            </w:r>
          </w:p>
        </w:tc>
        <w:tc>
          <w:tcPr>
            <w:tcW w:w="2761" w:type="dxa"/>
          </w:tcPr>
          <w:p w14:paraId="74C77F0E" w14:textId="300646B0" w:rsidR="007D71EE" w:rsidRPr="00644B86" w:rsidRDefault="00D7495B" w:rsidP="008265D2">
            <w:pPr>
              <w:jc w:val="both"/>
              <w:rPr>
                <w:b/>
                <w:bCs/>
                <w:sz w:val="20"/>
                <w:szCs w:val="20"/>
                <w:lang w:val="en-US" w:eastAsia="en-US"/>
              </w:rPr>
            </w:pPr>
            <w:r w:rsidRPr="00644B86">
              <w:rPr>
                <w:b/>
                <w:bCs/>
                <w:sz w:val="20"/>
                <w:szCs w:val="20"/>
                <w:lang w:val="en-US" w:eastAsia="en-US"/>
              </w:rPr>
              <w:t>Projected activities</w:t>
            </w:r>
          </w:p>
        </w:tc>
        <w:tc>
          <w:tcPr>
            <w:tcW w:w="1914" w:type="dxa"/>
          </w:tcPr>
          <w:p w14:paraId="246232B3" w14:textId="06744EF9" w:rsidR="007D71EE" w:rsidRPr="00644B86" w:rsidRDefault="00644B86" w:rsidP="005E30AB">
            <w:pPr>
              <w:rPr>
                <w:b/>
                <w:bCs/>
                <w:sz w:val="20"/>
                <w:szCs w:val="20"/>
                <w:lang w:val="en-US" w:eastAsia="en-US"/>
              </w:rPr>
            </w:pPr>
            <w:r>
              <w:rPr>
                <w:b/>
                <w:bCs/>
                <w:sz w:val="20"/>
                <w:szCs w:val="20"/>
                <w:lang w:val="en-US" w:eastAsia="en-US"/>
              </w:rPr>
              <w:t xml:space="preserve">Key </w:t>
            </w:r>
            <w:r w:rsidR="00D7495B" w:rsidRPr="00644B86">
              <w:rPr>
                <w:b/>
                <w:bCs/>
                <w:sz w:val="20"/>
                <w:szCs w:val="20"/>
                <w:lang w:val="en-US" w:eastAsia="en-US"/>
              </w:rPr>
              <w:t>Deliverables</w:t>
            </w:r>
          </w:p>
        </w:tc>
        <w:tc>
          <w:tcPr>
            <w:tcW w:w="2338" w:type="dxa"/>
          </w:tcPr>
          <w:p w14:paraId="663FC52E" w14:textId="2A4AAC16" w:rsidR="007D71EE" w:rsidRPr="003E1A62" w:rsidRDefault="003E1A62" w:rsidP="008265D2">
            <w:pPr>
              <w:jc w:val="both"/>
              <w:rPr>
                <w:b/>
                <w:bCs/>
                <w:sz w:val="20"/>
                <w:szCs w:val="20"/>
                <w:lang w:val="en-US" w:eastAsia="en-US"/>
              </w:rPr>
            </w:pPr>
            <w:r w:rsidRPr="003E1A62">
              <w:rPr>
                <w:b/>
                <w:bCs/>
                <w:sz w:val="20"/>
                <w:szCs w:val="20"/>
                <w:lang w:val="en-US" w:eastAsia="en-US"/>
              </w:rPr>
              <w:t>Projected working days</w:t>
            </w:r>
          </w:p>
        </w:tc>
      </w:tr>
      <w:tr w:rsidR="00BB2F8F" w:rsidRPr="00644B86" w14:paraId="1281971E" w14:textId="77777777" w:rsidTr="000A7EA4">
        <w:tc>
          <w:tcPr>
            <w:tcW w:w="2337" w:type="dxa"/>
          </w:tcPr>
          <w:p w14:paraId="10D6972E" w14:textId="6B0958B9" w:rsidR="00BB2F8F" w:rsidRPr="00644B86" w:rsidRDefault="004B3BB9" w:rsidP="00644B86">
            <w:pPr>
              <w:rPr>
                <w:sz w:val="20"/>
                <w:szCs w:val="20"/>
                <w:lang w:val="en-US" w:eastAsia="en-US"/>
              </w:rPr>
            </w:pPr>
            <w:r>
              <w:rPr>
                <w:sz w:val="20"/>
                <w:szCs w:val="20"/>
                <w:lang w:val="en-US" w:eastAsia="en-US"/>
              </w:rPr>
              <w:t>2025</w:t>
            </w:r>
          </w:p>
        </w:tc>
        <w:tc>
          <w:tcPr>
            <w:tcW w:w="2761" w:type="dxa"/>
          </w:tcPr>
          <w:p w14:paraId="13727D61" w14:textId="5207F511" w:rsidR="00BB2F8F" w:rsidRPr="00644B86" w:rsidRDefault="001B01B6" w:rsidP="00644B86">
            <w:pPr>
              <w:rPr>
                <w:sz w:val="20"/>
                <w:szCs w:val="20"/>
                <w:lang w:val="en-US" w:eastAsia="en-US"/>
              </w:rPr>
            </w:pPr>
            <w:r w:rsidRPr="00644B86">
              <w:rPr>
                <w:sz w:val="20"/>
                <w:szCs w:val="20"/>
                <w:lang w:val="en-US" w:eastAsia="en-US"/>
              </w:rPr>
              <w:t>Proposal submitted and partner selected</w:t>
            </w:r>
          </w:p>
        </w:tc>
        <w:tc>
          <w:tcPr>
            <w:tcW w:w="1914" w:type="dxa"/>
          </w:tcPr>
          <w:p w14:paraId="2A40B886" w14:textId="07970DDB" w:rsidR="00BB2F8F" w:rsidRPr="00644B86" w:rsidRDefault="00BB2F8F" w:rsidP="005E30AB">
            <w:pPr>
              <w:rPr>
                <w:sz w:val="20"/>
                <w:szCs w:val="20"/>
                <w:lang w:val="en-US" w:eastAsia="en-US"/>
              </w:rPr>
            </w:pPr>
          </w:p>
        </w:tc>
        <w:tc>
          <w:tcPr>
            <w:tcW w:w="2338" w:type="dxa"/>
          </w:tcPr>
          <w:p w14:paraId="0FF3AEB2" w14:textId="034D6BE4" w:rsidR="00BB2F8F" w:rsidRPr="00644B86" w:rsidRDefault="00BB2F8F" w:rsidP="008265D2">
            <w:pPr>
              <w:jc w:val="both"/>
              <w:rPr>
                <w:sz w:val="20"/>
                <w:szCs w:val="20"/>
                <w:lang w:val="en-US" w:eastAsia="en-US"/>
              </w:rPr>
            </w:pPr>
          </w:p>
        </w:tc>
      </w:tr>
      <w:tr w:rsidR="00BB2F8F" w:rsidRPr="00644B86" w14:paraId="073FCA1F" w14:textId="77777777" w:rsidTr="000A7EA4">
        <w:tc>
          <w:tcPr>
            <w:tcW w:w="2337" w:type="dxa"/>
          </w:tcPr>
          <w:p w14:paraId="108F1312" w14:textId="0EE1FFEB" w:rsidR="00BB2F8F" w:rsidRPr="00644B86" w:rsidRDefault="001B01B6" w:rsidP="008265D2">
            <w:pPr>
              <w:jc w:val="both"/>
              <w:rPr>
                <w:sz w:val="20"/>
                <w:szCs w:val="20"/>
                <w:lang w:val="en-US" w:eastAsia="en-US"/>
              </w:rPr>
            </w:pPr>
            <w:r w:rsidRPr="00644B86">
              <w:rPr>
                <w:sz w:val="20"/>
                <w:szCs w:val="20"/>
                <w:lang w:val="en-US" w:eastAsia="en-US"/>
              </w:rPr>
              <w:t>2025</w:t>
            </w:r>
          </w:p>
        </w:tc>
        <w:tc>
          <w:tcPr>
            <w:tcW w:w="2761" w:type="dxa"/>
          </w:tcPr>
          <w:p w14:paraId="4784B198" w14:textId="77777777" w:rsidR="00BB2F8F" w:rsidRPr="00644B86" w:rsidRDefault="00F635F5" w:rsidP="000A7EA4">
            <w:pPr>
              <w:rPr>
                <w:sz w:val="20"/>
                <w:szCs w:val="20"/>
                <w:lang w:val="en-US" w:eastAsia="en-US"/>
              </w:rPr>
            </w:pPr>
            <w:r w:rsidRPr="00644B86">
              <w:rPr>
                <w:sz w:val="20"/>
                <w:szCs w:val="20"/>
                <w:lang w:val="en-US" w:eastAsia="en-US"/>
              </w:rPr>
              <w:t>Inception report submitted</w:t>
            </w:r>
          </w:p>
          <w:p w14:paraId="6EC81B5A" w14:textId="77777777" w:rsidR="00F635F5" w:rsidRPr="00644B86" w:rsidRDefault="00F635F5" w:rsidP="000A7EA4">
            <w:pPr>
              <w:rPr>
                <w:sz w:val="20"/>
                <w:szCs w:val="20"/>
                <w:lang w:val="en-US" w:eastAsia="en-US"/>
              </w:rPr>
            </w:pPr>
          </w:p>
          <w:p w14:paraId="464B77B3" w14:textId="08D9874F" w:rsidR="00F635F5" w:rsidRPr="00644B86" w:rsidRDefault="007E5915" w:rsidP="000A7EA4">
            <w:pPr>
              <w:rPr>
                <w:sz w:val="20"/>
                <w:szCs w:val="20"/>
                <w:lang w:val="en-US" w:eastAsia="en-US"/>
              </w:rPr>
            </w:pPr>
            <w:r w:rsidRPr="00644B86">
              <w:rPr>
                <w:sz w:val="20"/>
                <w:szCs w:val="20"/>
                <w:lang w:val="en-US" w:eastAsia="en-US"/>
              </w:rPr>
              <w:t>Kick-off workshop held in Q</w:t>
            </w:r>
            <w:r w:rsidR="00635591">
              <w:rPr>
                <w:sz w:val="20"/>
                <w:szCs w:val="20"/>
                <w:lang w:val="en-US" w:eastAsia="en-US"/>
              </w:rPr>
              <w:t>3/Q4</w:t>
            </w:r>
          </w:p>
          <w:p w14:paraId="10265FB3" w14:textId="77777777" w:rsidR="007E5915" w:rsidRPr="00644B86" w:rsidRDefault="007E5915" w:rsidP="000A7EA4">
            <w:pPr>
              <w:rPr>
                <w:sz w:val="20"/>
                <w:szCs w:val="20"/>
                <w:lang w:val="en-US" w:eastAsia="en-US"/>
              </w:rPr>
            </w:pPr>
          </w:p>
          <w:p w14:paraId="5BDB63B7" w14:textId="6DD86183" w:rsidR="007E5915" w:rsidRPr="00644B86" w:rsidRDefault="007E5915" w:rsidP="000A7EA4">
            <w:pPr>
              <w:rPr>
                <w:sz w:val="20"/>
                <w:szCs w:val="20"/>
                <w:lang w:val="en-US" w:eastAsia="en-US"/>
              </w:rPr>
            </w:pPr>
            <w:r w:rsidRPr="00644B86">
              <w:rPr>
                <w:sz w:val="20"/>
                <w:szCs w:val="20"/>
                <w:lang w:val="en-US" w:eastAsia="en-US"/>
              </w:rPr>
              <w:t xml:space="preserve">5 year learning agenda submitted </w:t>
            </w:r>
            <w:r w:rsidR="00BC20B4" w:rsidRPr="00644B86">
              <w:rPr>
                <w:sz w:val="20"/>
                <w:szCs w:val="20"/>
                <w:lang w:val="en-US" w:eastAsia="en-US"/>
              </w:rPr>
              <w:t>by end of year</w:t>
            </w:r>
          </w:p>
        </w:tc>
        <w:tc>
          <w:tcPr>
            <w:tcW w:w="1914" w:type="dxa"/>
          </w:tcPr>
          <w:p w14:paraId="7FA229C6" w14:textId="77777777" w:rsidR="00BB2F8F" w:rsidRDefault="005E30AB" w:rsidP="005E30AB">
            <w:pPr>
              <w:rPr>
                <w:sz w:val="20"/>
                <w:szCs w:val="20"/>
                <w:lang w:val="en-US" w:eastAsia="en-US"/>
              </w:rPr>
            </w:pPr>
            <w:r>
              <w:rPr>
                <w:sz w:val="20"/>
                <w:szCs w:val="20"/>
                <w:lang w:val="en-US" w:eastAsia="en-US"/>
              </w:rPr>
              <w:t>Inception report</w:t>
            </w:r>
          </w:p>
          <w:p w14:paraId="516A3CDC" w14:textId="77777777" w:rsidR="005E30AB" w:rsidRDefault="005E30AB" w:rsidP="005E30AB">
            <w:pPr>
              <w:rPr>
                <w:sz w:val="20"/>
                <w:szCs w:val="20"/>
                <w:lang w:val="en-US" w:eastAsia="en-US"/>
              </w:rPr>
            </w:pPr>
          </w:p>
          <w:p w14:paraId="0A8D5CF1" w14:textId="69CBF8CC" w:rsidR="005E30AB" w:rsidRPr="00644B86" w:rsidRDefault="005E30AB" w:rsidP="005E30AB">
            <w:pPr>
              <w:rPr>
                <w:sz w:val="20"/>
                <w:szCs w:val="20"/>
                <w:lang w:val="en-US" w:eastAsia="en-US"/>
              </w:rPr>
            </w:pPr>
            <w:r>
              <w:rPr>
                <w:sz w:val="20"/>
                <w:szCs w:val="20"/>
                <w:lang w:val="en-US" w:eastAsia="en-US"/>
              </w:rPr>
              <w:t>Learning agenda with learning questions, 5-year workplan, and anticipated learning products</w:t>
            </w:r>
          </w:p>
        </w:tc>
        <w:tc>
          <w:tcPr>
            <w:tcW w:w="2338" w:type="dxa"/>
          </w:tcPr>
          <w:p w14:paraId="6C334DE2" w14:textId="38700241" w:rsidR="00BB2F8F" w:rsidRPr="00644B86" w:rsidRDefault="008528EC" w:rsidP="008265D2">
            <w:pPr>
              <w:jc w:val="both"/>
              <w:rPr>
                <w:sz w:val="20"/>
                <w:szCs w:val="20"/>
                <w:lang w:val="en-US" w:eastAsia="en-US"/>
              </w:rPr>
            </w:pPr>
            <w:r>
              <w:rPr>
                <w:sz w:val="20"/>
                <w:szCs w:val="20"/>
                <w:lang w:val="en-US" w:eastAsia="en-US"/>
              </w:rPr>
              <w:t>30</w:t>
            </w:r>
          </w:p>
        </w:tc>
      </w:tr>
      <w:tr w:rsidR="00BB2F8F" w:rsidRPr="00644B86" w14:paraId="5AEA7F0D" w14:textId="77777777" w:rsidTr="000A7EA4">
        <w:tc>
          <w:tcPr>
            <w:tcW w:w="2337" w:type="dxa"/>
          </w:tcPr>
          <w:p w14:paraId="3539B3D8" w14:textId="05D77382" w:rsidR="00BB2F8F" w:rsidRPr="00644B86" w:rsidRDefault="00BC20B4" w:rsidP="008265D2">
            <w:pPr>
              <w:jc w:val="both"/>
              <w:rPr>
                <w:sz w:val="20"/>
                <w:szCs w:val="20"/>
                <w:lang w:val="en-US" w:eastAsia="en-US"/>
              </w:rPr>
            </w:pPr>
            <w:r w:rsidRPr="00644B86">
              <w:rPr>
                <w:sz w:val="20"/>
                <w:szCs w:val="20"/>
                <w:lang w:val="en-US" w:eastAsia="en-US"/>
              </w:rPr>
              <w:t>2026</w:t>
            </w:r>
          </w:p>
        </w:tc>
        <w:tc>
          <w:tcPr>
            <w:tcW w:w="2761" w:type="dxa"/>
          </w:tcPr>
          <w:p w14:paraId="5B134C6E" w14:textId="77777777" w:rsidR="00BB2F8F" w:rsidRPr="00644B86" w:rsidRDefault="00B757C6" w:rsidP="000A7EA4">
            <w:pPr>
              <w:rPr>
                <w:sz w:val="20"/>
                <w:szCs w:val="20"/>
                <w:lang w:val="en-US" w:eastAsia="en-US"/>
              </w:rPr>
            </w:pPr>
            <w:r w:rsidRPr="00644B86">
              <w:rPr>
                <w:sz w:val="20"/>
                <w:szCs w:val="20"/>
                <w:lang w:val="en-US" w:eastAsia="en-US"/>
              </w:rPr>
              <w:t>Development of methodology guidance for country learning activities</w:t>
            </w:r>
          </w:p>
          <w:p w14:paraId="66488A09" w14:textId="77777777" w:rsidR="000A7EA4" w:rsidRPr="00644B86" w:rsidRDefault="000A7EA4" w:rsidP="000A7EA4">
            <w:pPr>
              <w:rPr>
                <w:sz w:val="20"/>
                <w:szCs w:val="20"/>
                <w:lang w:val="en-US" w:eastAsia="en-US"/>
              </w:rPr>
            </w:pPr>
          </w:p>
          <w:p w14:paraId="64637102" w14:textId="1716C340" w:rsidR="000A7EA4" w:rsidRPr="00644B86" w:rsidRDefault="000A7EA4" w:rsidP="000A7EA4">
            <w:pPr>
              <w:rPr>
                <w:sz w:val="20"/>
                <w:szCs w:val="20"/>
                <w:lang w:val="en-US" w:eastAsia="en-US"/>
              </w:rPr>
            </w:pPr>
            <w:r w:rsidRPr="00644B86">
              <w:rPr>
                <w:sz w:val="20"/>
                <w:szCs w:val="20"/>
                <w:lang w:val="en-US" w:eastAsia="en-US"/>
              </w:rPr>
              <w:t xml:space="preserve">Support to </w:t>
            </w:r>
            <w:r w:rsidR="00CC0858" w:rsidRPr="00644B86">
              <w:rPr>
                <w:sz w:val="20"/>
                <w:szCs w:val="20"/>
                <w:lang w:val="en-US" w:eastAsia="en-US"/>
              </w:rPr>
              <w:t>selected countries to develop learning products (2-5)</w:t>
            </w:r>
          </w:p>
          <w:p w14:paraId="01B5423C" w14:textId="326359FE" w:rsidR="00B757C6" w:rsidRPr="00644B86" w:rsidRDefault="00B757C6" w:rsidP="008265D2">
            <w:pPr>
              <w:jc w:val="both"/>
              <w:rPr>
                <w:sz w:val="20"/>
                <w:szCs w:val="20"/>
                <w:lang w:val="en-US" w:eastAsia="en-US"/>
              </w:rPr>
            </w:pPr>
          </w:p>
        </w:tc>
        <w:tc>
          <w:tcPr>
            <w:tcW w:w="1914" w:type="dxa"/>
          </w:tcPr>
          <w:p w14:paraId="4C9DE73F" w14:textId="77777777" w:rsidR="00BB2F8F" w:rsidRDefault="00472FAB" w:rsidP="005E30AB">
            <w:pPr>
              <w:rPr>
                <w:sz w:val="20"/>
                <w:szCs w:val="20"/>
                <w:lang w:val="en-US" w:eastAsia="en-US"/>
              </w:rPr>
            </w:pPr>
            <w:r>
              <w:rPr>
                <w:sz w:val="20"/>
                <w:szCs w:val="20"/>
                <w:lang w:val="en-US" w:eastAsia="en-US"/>
              </w:rPr>
              <w:lastRenderedPageBreak/>
              <w:t>Guidance/toolkit produced (1-3)</w:t>
            </w:r>
          </w:p>
          <w:p w14:paraId="58D96EAD" w14:textId="77777777" w:rsidR="00472FAB" w:rsidRDefault="00472FAB" w:rsidP="005E30AB">
            <w:pPr>
              <w:rPr>
                <w:sz w:val="20"/>
                <w:szCs w:val="20"/>
                <w:lang w:val="en-US" w:eastAsia="en-US"/>
              </w:rPr>
            </w:pPr>
          </w:p>
          <w:p w14:paraId="21BAA654" w14:textId="7FA97737" w:rsidR="00472FAB" w:rsidRPr="00644B86" w:rsidRDefault="00472FAB" w:rsidP="005E30AB">
            <w:pPr>
              <w:rPr>
                <w:sz w:val="20"/>
                <w:szCs w:val="20"/>
                <w:lang w:val="en-US" w:eastAsia="en-US"/>
              </w:rPr>
            </w:pPr>
            <w:r>
              <w:rPr>
                <w:sz w:val="20"/>
                <w:szCs w:val="20"/>
                <w:lang w:val="en-US" w:eastAsia="en-US"/>
              </w:rPr>
              <w:lastRenderedPageBreak/>
              <w:t>Learning products (</w:t>
            </w:r>
            <w:r w:rsidR="008C2B0A">
              <w:rPr>
                <w:sz w:val="20"/>
                <w:szCs w:val="20"/>
                <w:lang w:val="en-US" w:eastAsia="en-US"/>
              </w:rPr>
              <w:t>2</w:t>
            </w:r>
            <w:r>
              <w:rPr>
                <w:sz w:val="20"/>
                <w:szCs w:val="20"/>
                <w:lang w:val="en-US" w:eastAsia="en-US"/>
              </w:rPr>
              <w:t>-5)</w:t>
            </w:r>
          </w:p>
        </w:tc>
        <w:tc>
          <w:tcPr>
            <w:tcW w:w="2338" w:type="dxa"/>
          </w:tcPr>
          <w:p w14:paraId="108BB6A5" w14:textId="5639C21E" w:rsidR="00BB2F8F" w:rsidRPr="00644B86" w:rsidRDefault="00A1367C" w:rsidP="008265D2">
            <w:pPr>
              <w:jc w:val="both"/>
              <w:rPr>
                <w:sz w:val="20"/>
                <w:szCs w:val="20"/>
                <w:lang w:val="en-US" w:eastAsia="en-US"/>
              </w:rPr>
            </w:pPr>
            <w:r>
              <w:rPr>
                <w:sz w:val="20"/>
                <w:szCs w:val="20"/>
                <w:lang w:val="en-US" w:eastAsia="en-US"/>
              </w:rPr>
              <w:lastRenderedPageBreak/>
              <w:t>40</w:t>
            </w:r>
          </w:p>
        </w:tc>
      </w:tr>
      <w:tr w:rsidR="00BB2F8F" w:rsidRPr="00644B86" w14:paraId="0AB27B81" w14:textId="77777777" w:rsidTr="000A7EA4">
        <w:tc>
          <w:tcPr>
            <w:tcW w:w="2337" w:type="dxa"/>
          </w:tcPr>
          <w:p w14:paraId="71190EE1" w14:textId="767493D1" w:rsidR="00BB2F8F" w:rsidRPr="00644B86" w:rsidRDefault="00BC20B4" w:rsidP="008265D2">
            <w:pPr>
              <w:jc w:val="both"/>
              <w:rPr>
                <w:sz w:val="20"/>
                <w:szCs w:val="20"/>
                <w:lang w:val="en-US" w:eastAsia="en-US"/>
              </w:rPr>
            </w:pPr>
            <w:r w:rsidRPr="00644B86">
              <w:rPr>
                <w:sz w:val="20"/>
                <w:szCs w:val="20"/>
                <w:lang w:val="en-US" w:eastAsia="en-US"/>
              </w:rPr>
              <w:t>2027</w:t>
            </w:r>
          </w:p>
        </w:tc>
        <w:tc>
          <w:tcPr>
            <w:tcW w:w="2761" w:type="dxa"/>
          </w:tcPr>
          <w:p w14:paraId="38895242" w14:textId="77777777" w:rsidR="00301B58" w:rsidRPr="00644B86" w:rsidRDefault="00301B58" w:rsidP="00301B58">
            <w:pPr>
              <w:rPr>
                <w:sz w:val="20"/>
                <w:szCs w:val="20"/>
                <w:lang w:val="en-US" w:eastAsia="en-US"/>
              </w:rPr>
            </w:pPr>
            <w:r w:rsidRPr="00644B86">
              <w:rPr>
                <w:sz w:val="20"/>
                <w:szCs w:val="20"/>
                <w:lang w:val="en-US" w:eastAsia="en-US"/>
              </w:rPr>
              <w:t>Support to selected countries to develop learning products (2-5)</w:t>
            </w:r>
          </w:p>
          <w:p w14:paraId="3D49E816" w14:textId="77777777" w:rsidR="00BB2F8F" w:rsidRPr="00644B86" w:rsidRDefault="00BB2F8F" w:rsidP="008265D2">
            <w:pPr>
              <w:jc w:val="both"/>
              <w:rPr>
                <w:sz w:val="20"/>
                <w:szCs w:val="20"/>
                <w:lang w:val="en-US" w:eastAsia="en-US"/>
              </w:rPr>
            </w:pPr>
          </w:p>
          <w:p w14:paraId="695CC2ED" w14:textId="1A26C152" w:rsidR="00301B58" w:rsidRPr="00644B86" w:rsidRDefault="00301B58" w:rsidP="00301B58">
            <w:pPr>
              <w:rPr>
                <w:sz w:val="20"/>
                <w:szCs w:val="20"/>
                <w:lang w:val="en-US" w:eastAsia="en-US"/>
              </w:rPr>
            </w:pPr>
            <w:r w:rsidRPr="00644B86">
              <w:rPr>
                <w:sz w:val="20"/>
                <w:szCs w:val="20"/>
                <w:lang w:val="en-US" w:eastAsia="en-US"/>
              </w:rPr>
              <w:t>Support to mid-term evaluations, country and global level</w:t>
            </w:r>
          </w:p>
        </w:tc>
        <w:tc>
          <w:tcPr>
            <w:tcW w:w="1914" w:type="dxa"/>
          </w:tcPr>
          <w:p w14:paraId="360F2BDE" w14:textId="3BC627CA" w:rsidR="00BB2F8F" w:rsidRDefault="00472FAB" w:rsidP="005E30AB">
            <w:pPr>
              <w:rPr>
                <w:sz w:val="20"/>
                <w:szCs w:val="20"/>
                <w:lang w:val="en-US" w:eastAsia="en-US"/>
              </w:rPr>
            </w:pPr>
            <w:r>
              <w:rPr>
                <w:sz w:val="20"/>
                <w:szCs w:val="20"/>
                <w:lang w:val="en-US" w:eastAsia="en-US"/>
              </w:rPr>
              <w:t>Learning products (</w:t>
            </w:r>
            <w:r w:rsidR="008C2B0A">
              <w:rPr>
                <w:sz w:val="20"/>
                <w:szCs w:val="20"/>
                <w:lang w:val="en-US" w:eastAsia="en-US"/>
              </w:rPr>
              <w:t>2</w:t>
            </w:r>
            <w:r>
              <w:rPr>
                <w:sz w:val="20"/>
                <w:szCs w:val="20"/>
                <w:lang w:val="en-US" w:eastAsia="en-US"/>
              </w:rPr>
              <w:t>-5)</w:t>
            </w:r>
          </w:p>
          <w:p w14:paraId="0D63B16E" w14:textId="77777777" w:rsidR="00472FAB" w:rsidRDefault="00472FAB" w:rsidP="005E30AB">
            <w:pPr>
              <w:rPr>
                <w:sz w:val="20"/>
                <w:szCs w:val="20"/>
                <w:lang w:val="en-US" w:eastAsia="en-US"/>
              </w:rPr>
            </w:pPr>
          </w:p>
          <w:p w14:paraId="29B03620" w14:textId="77777777" w:rsidR="00472FAB" w:rsidRDefault="008C2B0A" w:rsidP="005E30AB">
            <w:pPr>
              <w:rPr>
                <w:sz w:val="20"/>
                <w:szCs w:val="20"/>
                <w:lang w:val="en-US" w:eastAsia="en-US"/>
              </w:rPr>
            </w:pPr>
            <w:r>
              <w:rPr>
                <w:sz w:val="20"/>
                <w:szCs w:val="20"/>
                <w:lang w:val="en-US" w:eastAsia="en-US"/>
              </w:rPr>
              <w:t>Global learning report</w:t>
            </w:r>
          </w:p>
          <w:p w14:paraId="2894F391" w14:textId="77777777" w:rsidR="008C2B0A" w:rsidRDefault="008C2B0A" w:rsidP="005E30AB">
            <w:pPr>
              <w:rPr>
                <w:sz w:val="20"/>
                <w:szCs w:val="20"/>
                <w:lang w:val="en-US" w:eastAsia="en-US"/>
              </w:rPr>
            </w:pPr>
          </w:p>
          <w:p w14:paraId="26AEDB3C" w14:textId="5CD416BE" w:rsidR="008C2B0A" w:rsidRPr="00644B86" w:rsidRDefault="008C2B0A" w:rsidP="005E30AB">
            <w:pPr>
              <w:rPr>
                <w:sz w:val="20"/>
                <w:szCs w:val="20"/>
                <w:lang w:val="en-US" w:eastAsia="en-US"/>
              </w:rPr>
            </w:pPr>
            <w:r>
              <w:rPr>
                <w:sz w:val="20"/>
                <w:szCs w:val="20"/>
                <w:lang w:val="en-US" w:eastAsia="en-US"/>
              </w:rPr>
              <w:t>Mid-term evaluation reports (TBD)</w:t>
            </w:r>
          </w:p>
        </w:tc>
        <w:tc>
          <w:tcPr>
            <w:tcW w:w="2338" w:type="dxa"/>
          </w:tcPr>
          <w:p w14:paraId="1D1D5E2C" w14:textId="1B90F24D" w:rsidR="00BB2F8F" w:rsidRPr="00644B86" w:rsidRDefault="00033F8C" w:rsidP="008265D2">
            <w:pPr>
              <w:jc w:val="both"/>
              <w:rPr>
                <w:sz w:val="20"/>
                <w:szCs w:val="20"/>
                <w:lang w:val="en-US" w:eastAsia="en-US"/>
              </w:rPr>
            </w:pPr>
            <w:r>
              <w:rPr>
                <w:sz w:val="20"/>
                <w:szCs w:val="20"/>
                <w:lang w:val="en-US" w:eastAsia="en-US"/>
              </w:rPr>
              <w:t>5</w:t>
            </w:r>
            <w:r w:rsidR="007E6370">
              <w:rPr>
                <w:sz w:val="20"/>
                <w:szCs w:val="20"/>
                <w:lang w:val="en-US" w:eastAsia="en-US"/>
              </w:rPr>
              <w:t>0</w:t>
            </w:r>
          </w:p>
        </w:tc>
      </w:tr>
      <w:tr w:rsidR="00BB2F8F" w:rsidRPr="00644B86" w14:paraId="37E3169A" w14:textId="77777777" w:rsidTr="000A7EA4">
        <w:tc>
          <w:tcPr>
            <w:tcW w:w="2337" w:type="dxa"/>
          </w:tcPr>
          <w:p w14:paraId="7C38BC35" w14:textId="34F169A9" w:rsidR="00BC20B4" w:rsidRPr="00644B86" w:rsidRDefault="00BC20B4" w:rsidP="008265D2">
            <w:pPr>
              <w:jc w:val="both"/>
              <w:rPr>
                <w:sz w:val="20"/>
                <w:szCs w:val="20"/>
                <w:lang w:val="en-US" w:eastAsia="en-US"/>
              </w:rPr>
            </w:pPr>
            <w:r w:rsidRPr="00644B86">
              <w:rPr>
                <w:sz w:val="20"/>
                <w:szCs w:val="20"/>
                <w:lang w:val="en-US" w:eastAsia="en-US"/>
              </w:rPr>
              <w:t>2028</w:t>
            </w:r>
          </w:p>
        </w:tc>
        <w:tc>
          <w:tcPr>
            <w:tcW w:w="2761" w:type="dxa"/>
          </w:tcPr>
          <w:p w14:paraId="690A7EC1" w14:textId="77777777" w:rsidR="0037080F" w:rsidRPr="00644B86" w:rsidRDefault="0037080F" w:rsidP="0037080F">
            <w:pPr>
              <w:rPr>
                <w:sz w:val="20"/>
                <w:szCs w:val="20"/>
                <w:lang w:val="en-US" w:eastAsia="en-US"/>
              </w:rPr>
            </w:pPr>
            <w:r w:rsidRPr="00644B86">
              <w:rPr>
                <w:sz w:val="20"/>
                <w:szCs w:val="20"/>
                <w:lang w:val="en-US" w:eastAsia="en-US"/>
              </w:rPr>
              <w:t>Support to selected countries to develop learning products (2-5)</w:t>
            </w:r>
          </w:p>
          <w:p w14:paraId="27992DDF" w14:textId="77777777" w:rsidR="00BB2F8F" w:rsidRPr="00644B86" w:rsidRDefault="00BB2F8F" w:rsidP="008265D2">
            <w:pPr>
              <w:jc w:val="both"/>
              <w:rPr>
                <w:sz w:val="20"/>
                <w:szCs w:val="20"/>
                <w:lang w:val="en-US" w:eastAsia="en-US"/>
              </w:rPr>
            </w:pPr>
          </w:p>
        </w:tc>
        <w:tc>
          <w:tcPr>
            <w:tcW w:w="1914" w:type="dxa"/>
          </w:tcPr>
          <w:p w14:paraId="4DB9DD5E" w14:textId="77777777" w:rsidR="003F7B3D" w:rsidRDefault="003F7B3D" w:rsidP="003F7B3D">
            <w:pPr>
              <w:rPr>
                <w:sz w:val="20"/>
                <w:szCs w:val="20"/>
                <w:lang w:val="en-US" w:eastAsia="en-US"/>
              </w:rPr>
            </w:pPr>
            <w:r>
              <w:rPr>
                <w:sz w:val="20"/>
                <w:szCs w:val="20"/>
                <w:lang w:val="en-US" w:eastAsia="en-US"/>
              </w:rPr>
              <w:t>Learning products (2-5)</w:t>
            </w:r>
          </w:p>
          <w:p w14:paraId="3A819E27" w14:textId="77777777" w:rsidR="00BB2F8F" w:rsidRPr="00644B86" w:rsidRDefault="00BB2F8F" w:rsidP="005E30AB">
            <w:pPr>
              <w:rPr>
                <w:sz w:val="20"/>
                <w:szCs w:val="20"/>
                <w:lang w:val="en-US" w:eastAsia="en-US"/>
              </w:rPr>
            </w:pPr>
          </w:p>
        </w:tc>
        <w:tc>
          <w:tcPr>
            <w:tcW w:w="2338" w:type="dxa"/>
          </w:tcPr>
          <w:p w14:paraId="199D055A" w14:textId="23DB95E6" w:rsidR="00BB2F8F" w:rsidRPr="00644B86" w:rsidRDefault="00521D6C" w:rsidP="008265D2">
            <w:pPr>
              <w:jc w:val="both"/>
              <w:rPr>
                <w:sz w:val="20"/>
                <w:szCs w:val="20"/>
                <w:lang w:val="en-US" w:eastAsia="en-US"/>
              </w:rPr>
            </w:pPr>
            <w:r>
              <w:rPr>
                <w:sz w:val="20"/>
                <w:szCs w:val="20"/>
                <w:lang w:val="en-US" w:eastAsia="en-US"/>
              </w:rPr>
              <w:t>40</w:t>
            </w:r>
          </w:p>
        </w:tc>
      </w:tr>
      <w:tr w:rsidR="00BB2F8F" w:rsidRPr="00644B86" w14:paraId="29871A0F" w14:textId="77777777" w:rsidTr="000A7EA4">
        <w:tc>
          <w:tcPr>
            <w:tcW w:w="2337" w:type="dxa"/>
          </w:tcPr>
          <w:p w14:paraId="1DE6E1AC" w14:textId="2B8ADCE0" w:rsidR="00BB2F8F" w:rsidRPr="00644B86" w:rsidRDefault="00BC20B4" w:rsidP="008265D2">
            <w:pPr>
              <w:jc w:val="both"/>
              <w:rPr>
                <w:sz w:val="20"/>
                <w:szCs w:val="20"/>
                <w:lang w:val="en-US" w:eastAsia="en-US"/>
              </w:rPr>
            </w:pPr>
            <w:r w:rsidRPr="00644B86">
              <w:rPr>
                <w:sz w:val="20"/>
                <w:szCs w:val="20"/>
                <w:lang w:val="en-US" w:eastAsia="en-US"/>
              </w:rPr>
              <w:t>2029</w:t>
            </w:r>
          </w:p>
        </w:tc>
        <w:tc>
          <w:tcPr>
            <w:tcW w:w="2761" w:type="dxa"/>
          </w:tcPr>
          <w:p w14:paraId="0F65DFBE" w14:textId="77777777" w:rsidR="00BB2F8F" w:rsidRPr="00644B86" w:rsidRDefault="003F362E" w:rsidP="008265D2">
            <w:pPr>
              <w:jc w:val="both"/>
              <w:rPr>
                <w:sz w:val="20"/>
                <w:szCs w:val="20"/>
                <w:lang w:val="en-US" w:eastAsia="en-US"/>
              </w:rPr>
            </w:pPr>
            <w:r w:rsidRPr="00644B86">
              <w:rPr>
                <w:sz w:val="20"/>
                <w:szCs w:val="20"/>
                <w:lang w:val="en-US" w:eastAsia="en-US"/>
              </w:rPr>
              <w:t>Support to final evaluations</w:t>
            </w:r>
          </w:p>
          <w:p w14:paraId="435E919F" w14:textId="77777777" w:rsidR="003F362E" w:rsidRPr="00644B86" w:rsidRDefault="003F362E" w:rsidP="008265D2">
            <w:pPr>
              <w:jc w:val="both"/>
              <w:rPr>
                <w:sz w:val="20"/>
                <w:szCs w:val="20"/>
                <w:lang w:val="en-US" w:eastAsia="en-US"/>
              </w:rPr>
            </w:pPr>
          </w:p>
          <w:p w14:paraId="3D6C4127" w14:textId="1637D22D" w:rsidR="003F362E" w:rsidRPr="00644B86" w:rsidRDefault="003F362E" w:rsidP="008265D2">
            <w:pPr>
              <w:jc w:val="both"/>
              <w:rPr>
                <w:sz w:val="20"/>
                <w:szCs w:val="20"/>
                <w:lang w:val="en-US" w:eastAsia="en-US"/>
              </w:rPr>
            </w:pPr>
            <w:r w:rsidRPr="00644B86">
              <w:rPr>
                <w:sz w:val="20"/>
                <w:szCs w:val="20"/>
                <w:lang w:val="en-US" w:eastAsia="en-US"/>
              </w:rPr>
              <w:t>Facilitation of final learning workshop</w:t>
            </w:r>
          </w:p>
        </w:tc>
        <w:tc>
          <w:tcPr>
            <w:tcW w:w="1914" w:type="dxa"/>
          </w:tcPr>
          <w:p w14:paraId="126771C9" w14:textId="77777777" w:rsidR="00BB2F8F" w:rsidRDefault="000B0FFD" w:rsidP="005E30AB">
            <w:pPr>
              <w:rPr>
                <w:sz w:val="20"/>
                <w:szCs w:val="20"/>
                <w:lang w:val="en-US" w:eastAsia="en-US"/>
              </w:rPr>
            </w:pPr>
            <w:r>
              <w:rPr>
                <w:sz w:val="20"/>
                <w:szCs w:val="20"/>
                <w:lang w:val="en-US" w:eastAsia="en-US"/>
              </w:rPr>
              <w:t>Final evaluation reports (TBD)</w:t>
            </w:r>
          </w:p>
          <w:p w14:paraId="788CB9A1" w14:textId="77777777" w:rsidR="000B0FFD" w:rsidRDefault="000B0FFD" w:rsidP="005E30AB">
            <w:pPr>
              <w:rPr>
                <w:sz w:val="20"/>
                <w:szCs w:val="20"/>
                <w:lang w:val="en-US" w:eastAsia="en-US"/>
              </w:rPr>
            </w:pPr>
          </w:p>
          <w:p w14:paraId="7D0C3B73" w14:textId="58446809" w:rsidR="000B0FFD" w:rsidRPr="00644B86" w:rsidRDefault="000B0FFD" w:rsidP="005E30AB">
            <w:pPr>
              <w:rPr>
                <w:sz w:val="20"/>
                <w:szCs w:val="20"/>
                <w:lang w:val="en-US" w:eastAsia="en-US"/>
              </w:rPr>
            </w:pPr>
            <w:r>
              <w:rPr>
                <w:sz w:val="20"/>
                <w:szCs w:val="20"/>
                <w:lang w:val="en-US" w:eastAsia="en-US"/>
              </w:rPr>
              <w:t>Final global learning report</w:t>
            </w:r>
          </w:p>
        </w:tc>
        <w:tc>
          <w:tcPr>
            <w:tcW w:w="2338" w:type="dxa"/>
          </w:tcPr>
          <w:p w14:paraId="59519327" w14:textId="30D7A3B7" w:rsidR="00BB2F8F" w:rsidRPr="00644B86" w:rsidRDefault="00033F8C" w:rsidP="008265D2">
            <w:pPr>
              <w:jc w:val="both"/>
              <w:rPr>
                <w:sz w:val="20"/>
                <w:szCs w:val="20"/>
                <w:lang w:val="en-US" w:eastAsia="en-US"/>
              </w:rPr>
            </w:pPr>
            <w:r>
              <w:rPr>
                <w:sz w:val="20"/>
                <w:szCs w:val="20"/>
                <w:lang w:val="en-US" w:eastAsia="en-US"/>
              </w:rPr>
              <w:t>5</w:t>
            </w:r>
            <w:r w:rsidR="00521D6C">
              <w:rPr>
                <w:sz w:val="20"/>
                <w:szCs w:val="20"/>
                <w:lang w:val="en-US" w:eastAsia="en-US"/>
              </w:rPr>
              <w:t>0</w:t>
            </w:r>
          </w:p>
        </w:tc>
      </w:tr>
    </w:tbl>
    <w:p w14:paraId="559BDABB" w14:textId="77777777" w:rsidR="008265D2" w:rsidRDefault="008265D2" w:rsidP="008265D2">
      <w:pPr>
        <w:jc w:val="both"/>
        <w:rPr>
          <w:lang w:val="en-US" w:eastAsia="en-US"/>
        </w:rPr>
      </w:pPr>
    </w:p>
    <w:p w14:paraId="5D3B1429" w14:textId="09741714" w:rsidR="0015042E" w:rsidRDefault="0015042E" w:rsidP="008265D2">
      <w:pPr>
        <w:jc w:val="both"/>
        <w:rPr>
          <w:lang w:val="en-US" w:eastAsia="en-US"/>
        </w:rPr>
      </w:pPr>
      <w:r>
        <w:rPr>
          <w:lang w:val="en-US" w:eastAsia="en-US"/>
        </w:rPr>
        <w:t>Total estimated working days from 2025-2029</w:t>
      </w:r>
      <w:r w:rsidR="00627576">
        <w:rPr>
          <w:lang w:val="en-US" w:eastAsia="en-US"/>
        </w:rPr>
        <w:t>: 220</w:t>
      </w:r>
    </w:p>
    <w:p w14:paraId="53C92D1D" w14:textId="77777777" w:rsidR="001D0889" w:rsidRDefault="001D0889" w:rsidP="00DE2C35">
      <w:pPr>
        <w:pStyle w:val="BodyText"/>
        <w:jc w:val="both"/>
        <w:rPr>
          <w:rFonts w:ascii="Arial" w:hAnsi="Arial" w:cs="Arial"/>
          <w:szCs w:val="22"/>
          <w:lang w:val="en-US"/>
        </w:rPr>
      </w:pPr>
    </w:p>
    <w:p w14:paraId="3359E8FB" w14:textId="2CBCE2B4" w:rsidR="00D83364" w:rsidRDefault="09F5F920" w:rsidP="00A204C4">
      <w:pPr>
        <w:pStyle w:val="Heading1"/>
        <w:numPr>
          <w:ilvl w:val="0"/>
          <w:numId w:val="35"/>
        </w:numPr>
      </w:pPr>
      <w:r w:rsidRPr="00085709">
        <w:t xml:space="preserve">Qualities of the </w:t>
      </w:r>
      <w:r w:rsidR="003812A6">
        <w:t>research partner</w:t>
      </w:r>
    </w:p>
    <w:p w14:paraId="6C680C8E" w14:textId="77777777" w:rsidR="00F56978" w:rsidRDefault="00F56978" w:rsidP="00DE2C35">
      <w:pPr>
        <w:jc w:val="both"/>
        <w:rPr>
          <w:lang w:val="en-US"/>
        </w:rPr>
      </w:pPr>
    </w:p>
    <w:p w14:paraId="7155B9C2" w14:textId="7CFF6238" w:rsidR="00486745" w:rsidRDefault="005F247F" w:rsidP="00DE2C35">
      <w:pPr>
        <w:jc w:val="both"/>
        <w:rPr>
          <w:lang w:val="en-US"/>
        </w:rPr>
      </w:pPr>
      <w:r>
        <w:rPr>
          <w:lang w:val="en-US"/>
        </w:rPr>
        <w:t>The research partner should have expertise in diverse</w:t>
      </w:r>
      <w:r w:rsidR="00C36628">
        <w:rPr>
          <w:lang w:val="en-US"/>
        </w:rPr>
        <w:t>,</w:t>
      </w:r>
      <w:r>
        <w:rPr>
          <w:lang w:val="en-US"/>
        </w:rPr>
        <w:t xml:space="preserve"> innovative</w:t>
      </w:r>
      <w:r w:rsidR="00C36628">
        <w:rPr>
          <w:lang w:val="en-US"/>
        </w:rPr>
        <w:t xml:space="preserve"> and participatory</w:t>
      </w:r>
      <w:r w:rsidR="00486745">
        <w:rPr>
          <w:lang w:val="en-US"/>
        </w:rPr>
        <w:t>,</w:t>
      </w:r>
      <w:r w:rsidR="00287D58">
        <w:rPr>
          <w:lang w:val="en-US"/>
        </w:rPr>
        <w:t xml:space="preserve"> quantitative and qualit</w:t>
      </w:r>
      <w:r w:rsidR="00D33D19">
        <w:rPr>
          <w:lang w:val="en-US"/>
        </w:rPr>
        <w:t>ative data collection and analysis</w:t>
      </w:r>
      <w:r>
        <w:rPr>
          <w:lang w:val="en-US"/>
        </w:rPr>
        <w:t xml:space="preserve"> methods</w:t>
      </w:r>
      <w:r w:rsidR="00D33D19">
        <w:rPr>
          <w:lang w:val="en-US"/>
        </w:rPr>
        <w:t xml:space="preserve"> </w:t>
      </w:r>
      <w:r w:rsidR="003F3F65">
        <w:rPr>
          <w:lang w:val="en-US"/>
        </w:rPr>
        <w:t xml:space="preserve">which are </w:t>
      </w:r>
      <w:r w:rsidR="00EA379A">
        <w:rPr>
          <w:lang w:val="en-US"/>
        </w:rPr>
        <w:t>suitable</w:t>
      </w:r>
      <w:r w:rsidR="00D8758F">
        <w:rPr>
          <w:lang w:val="en-US"/>
        </w:rPr>
        <w:t xml:space="preserve"> for development </w:t>
      </w:r>
      <w:r w:rsidR="0046797B">
        <w:rPr>
          <w:lang w:val="en-US"/>
        </w:rPr>
        <w:t>programming.</w:t>
      </w:r>
      <w:r w:rsidR="00EA379A">
        <w:rPr>
          <w:lang w:val="en-US"/>
        </w:rPr>
        <w:t xml:space="preserve"> The research partner should have extensive experience conducting research and evaluation</w:t>
      </w:r>
      <w:r w:rsidR="007350B6">
        <w:rPr>
          <w:lang w:val="en-US"/>
        </w:rPr>
        <w:t>s</w:t>
      </w:r>
      <w:r w:rsidR="00076649">
        <w:rPr>
          <w:lang w:val="en-US"/>
        </w:rPr>
        <w:t xml:space="preserve"> </w:t>
      </w:r>
      <w:r w:rsidR="00B02550">
        <w:rPr>
          <w:lang w:val="en-US"/>
        </w:rPr>
        <w:t xml:space="preserve">of </w:t>
      </w:r>
      <w:r w:rsidR="00076649">
        <w:rPr>
          <w:lang w:val="en-US"/>
        </w:rPr>
        <w:t>development</w:t>
      </w:r>
      <w:r w:rsidR="00B02550">
        <w:rPr>
          <w:lang w:val="en-US"/>
        </w:rPr>
        <w:t xml:space="preserve"> </w:t>
      </w:r>
      <w:proofErr w:type="spellStart"/>
      <w:r w:rsidR="00B02550">
        <w:rPr>
          <w:lang w:val="en-US"/>
        </w:rPr>
        <w:t>programmes</w:t>
      </w:r>
      <w:proofErr w:type="spellEnd"/>
      <w:r w:rsidR="00B02550">
        <w:rPr>
          <w:lang w:val="en-US"/>
        </w:rPr>
        <w:t xml:space="preserve"> in diverse global</w:t>
      </w:r>
      <w:r w:rsidR="00076649">
        <w:rPr>
          <w:lang w:val="en-US"/>
        </w:rPr>
        <w:t xml:space="preserve"> context</w:t>
      </w:r>
      <w:r w:rsidR="00B02550">
        <w:rPr>
          <w:lang w:val="en-US"/>
        </w:rPr>
        <w:t>s</w:t>
      </w:r>
      <w:r w:rsidR="00D92475">
        <w:rPr>
          <w:lang w:val="en-US"/>
        </w:rPr>
        <w:t xml:space="preserve"> and specific</w:t>
      </w:r>
      <w:r w:rsidR="00076649">
        <w:rPr>
          <w:lang w:val="en-US"/>
        </w:rPr>
        <w:t xml:space="preserve"> experience with civil society</w:t>
      </w:r>
      <w:r w:rsidR="00BE07CF">
        <w:rPr>
          <w:lang w:val="en-US"/>
        </w:rPr>
        <w:t>,</w:t>
      </w:r>
      <w:r w:rsidR="00076649">
        <w:rPr>
          <w:lang w:val="en-US"/>
        </w:rPr>
        <w:t xml:space="preserve"> social movements,</w:t>
      </w:r>
      <w:r w:rsidR="00BE07CF">
        <w:rPr>
          <w:lang w:val="en-US"/>
        </w:rPr>
        <w:t xml:space="preserve"> </w:t>
      </w:r>
      <w:r w:rsidR="00EC665B">
        <w:rPr>
          <w:lang w:val="en-US"/>
        </w:rPr>
        <w:t>and policy and advocacy,</w:t>
      </w:r>
      <w:r w:rsidR="00076649">
        <w:rPr>
          <w:lang w:val="en-US"/>
        </w:rPr>
        <w:t xml:space="preserve"> is preferred.</w:t>
      </w:r>
      <w:r w:rsidR="00070D94">
        <w:rPr>
          <w:lang w:val="en-US"/>
        </w:rPr>
        <w:t xml:space="preserve"> </w:t>
      </w:r>
      <w:r w:rsidR="00D92475">
        <w:rPr>
          <w:lang w:val="en-US"/>
        </w:rPr>
        <w:t xml:space="preserve">The research partner should have substantive knowledge of </w:t>
      </w:r>
      <w:r w:rsidR="00BE07CF">
        <w:rPr>
          <w:lang w:val="en-US"/>
        </w:rPr>
        <w:t>some of the countries and regions NPA works in.</w:t>
      </w:r>
    </w:p>
    <w:p w14:paraId="0D37C57C" w14:textId="6943A4B0" w:rsidR="002B0DF1" w:rsidRDefault="00D33D19" w:rsidP="00DE2C35">
      <w:pPr>
        <w:jc w:val="both"/>
        <w:rPr>
          <w:lang w:val="en-US"/>
        </w:rPr>
      </w:pPr>
      <w:r>
        <w:rPr>
          <w:lang w:val="en-US"/>
        </w:rPr>
        <w:t>The research partner must have strong facilitation skills</w:t>
      </w:r>
      <w:r w:rsidR="00EC4DD6">
        <w:rPr>
          <w:lang w:val="en-US"/>
        </w:rPr>
        <w:t xml:space="preserve"> with extensive experience designing and leading planning, reflection and learning workshops. They should be skilled in </w:t>
      </w:r>
      <w:r w:rsidR="006E1900">
        <w:rPr>
          <w:lang w:val="en-US"/>
        </w:rPr>
        <w:t>leading complex, global learning processes</w:t>
      </w:r>
      <w:r w:rsidR="00914646">
        <w:rPr>
          <w:lang w:val="en-US"/>
        </w:rPr>
        <w:t xml:space="preserve"> </w:t>
      </w:r>
      <w:r w:rsidR="000D3079">
        <w:rPr>
          <w:lang w:val="en-US"/>
        </w:rPr>
        <w:t>while excelling in supporting prioritization</w:t>
      </w:r>
      <w:r w:rsidR="00430331">
        <w:rPr>
          <w:lang w:val="en-US"/>
        </w:rPr>
        <w:t xml:space="preserve">, and should have </w:t>
      </w:r>
      <w:r w:rsidR="002170F5">
        <w:rPr>
          <w:lang w:val="en-US"/>
        </w:rPr>
        <w:t>experience working with diverse stakeholders.</w:t>
      </w:r>
    </w:p>
    <w:p w14:paraId="7E99241D" w14:textId="30BE2D54" w:rsidR="00F15A5C" w:rsidRDefault="00F3101B" w:rsidP="00DE2C35">
      <w:pPr>
        <w:jc w:val="both"/>
        <w:rPr>
          <w:lang w:val="en-US"/>
        </w:rPr>
      </w:pPr>
      <w:r>
        <w:rPr>
          <w:lang w:val="en-US"/>
        </w:rPr>
        <w:t>The evaluator</w:t>
      </w:r>
      <w:r w:rsidRPr="00F15A5C">
        <w:rPr>
          <w:lang w:val="en-US"/>
        </w:rPr>
        <w:t xml:space="preserve"> </w:t>
      </w:r>
      <w:r w:rsidR="00F15A5C" w:rsidRPr="00F15A5C">
        <w:rPr>
          <w:lang w:val="en-US"/>
        </w:rPr>
        <w:t>should demonstrate ethical consideration including respectful attitude towards NPA partners and their constituency</w:t>
      </w:r>
      <w:r w:rsidR="00594EC3">
        <w:rPr>
          <w:lang w:val="en-US"/>
        </w:rPr>
        <w:t>, as well as other stakeholders.</w:t>
      </w:r>
      <w:r w:rsidR="00F15A5C" w:rsidRPr="00F15A5C">
        <w:rPr>
          <w:lang w:val="en-US"/>
        </w:rPr>
        <w:t xml:space="preserve"> </w:t>
      </w:r>
    </w:p>
    <w:p w14:paraId="6E51DE2A" w14:textId="0E65BA77" w:rsidR="00F56978" w:rsidRDefault="00CA2D57" w:rsidP="00DE2C35">
      <w:pPr>
        <w:jc w:val="both"/>
        <w:rPr>
          <w:lang w:val="en-US"/>
        </w:rPr>
      </w:pPr>
      <w:r>
        <w:rPr>
          <w:lang w:val="en-US"/>
        </w:rPr>
        <w:t>Individual m</w:t>
      </w:r>
      <w:r w:rsidR="00F56978">
        <w:rPr>
          <w:lang w:val="en-US"/>
        </w:rPr>
        <w:t>embers of the research</w:t>
      </w:r>
      <w:r w:rsidR="00E701F5">
        <w:rPr>
          <w:lang w:val="en-US"/>
        </w:rPr>
        <w:t xml:space="preserve"> team should</w:t>
      </w:r>
      <w:r w:rsidR="009502AE">
        <w:rPr>
          <w:lang w:val="en-US"/>
        </w:rPr>
        <w:t xml:space="preserve"> have</w:t>
      </w:r>
      <w:r>
        <w:rPr>
          <w:lang w:val="en-US"/>
        </w:rPr>
        <w:t>:</w:t>
      </w:r>
    </w:p>
    <w:p w14:paraId="5A69507C" w14:textId="321C6696" w:rsidR="00CA2D57" w:rsidRDefault="009502AE" w:rsidP="00CA2D57">
      <w:pPr>
        <w:pStyle w:val="ListParagraph"/>
        <w:numPr>
          <w:ilvl w:val="0"/>
          <w:numId w:val="38"/>
        </w:numPr>
        <w:jc w:val="both"/>
        <w:rPr>
          <w:lang w:val="en-US"/>
        </w:rPr>
      </w:pPr>
      <w:r>
        <w:rPr>
          <w:lang w:val="en-US"/>
        </w:rPr>
        <w:lastRenderedPageBreak/>
        <w:t>Advanced degrees in Social Sciences, International Relations, Economics or other areas of relevance</w:t>
      </w:r>
    </w:p>
    <w:p w14:paraId="1E6BAF47" w14:textId="2A6EA4A7" w:rsidR="00877F20" w:rsidRDefault="00071EC4" w:rsidP="00CA2D57">
      <w:pPr>
        <w:pStyle w:val="ListParagraph"/>
        <w:numPr>
          <w:ilvl w:val="0"/>
          <w:numId w:val="38"/>
        </w:numPr>
        <w:jc w:val="both"/>
        <w:rPr>
          <w:lang w:val="en-US"/>
        </w:rPr>
      </w:pPr>
      <w:r>
        <w:rPr>
          <w:lang w:val="en-US"/>
        </w:rPr>
        <w:t xml:space="preserve">10+ years of </w:t>
      </w:r>
      <w:r w:rsidR="00483797">
        <w:rPr>
          <w:lang w:val="en-US"/>
        </w:rPr>
        <w:t>professional experience in a research institute</w:t>
      </w:r>
      <w:r w:rsidR="00E34B2F">
        <w:rPr>
          <w:lang w:val="en-US"/>
        </w:rPr>
        <w:t xml:space="preserve">, </w:t>
      </w:r>
      <w:r w:rsidR="00C14E97">
        <w:rPr>
          <w:lang w:val="en-US"/>
        </w:rPr>
        <w:t>conducting and contributing to research related to international development and humanitarian action</w:t>
      </w:r>
      <w:r w:rsidR="003A5B4E">
        <w:rPr>
          <w:lang w:val="en-US"/>
        </w:rPr>
        <w:t xml:space="preserve"> or other related thematic areas</w:t>
      </w:r>
      <w:r>
        <w:rPr>
          <w:lang w:val="en-US"/>
        </w:rPr>
        <w:t xml:space="preserve"> (5+ years for junior members of </w:t>
      </w:r>
      <w:r w:rsidR="003A5B4E">
        <w:rPr>
          <w:lang w:val="en-US"/>
        </w:rPr>
        <w:t>research team)</w:t>
      </w:r>
    </w:p>
    <w:p w14:paraId="22973DF9" w14:textId="347AD546" w:rsidR="00C84660" w:rsidRDefault="00FF09E0" w:rsidP="00CA2D57">
      <w:pPr>
        <w:pStyle w:val="ListParagraph"/>
        <w:numPr>
          <w:ilvl w:val="0"/>
          <w:numId w:val="38"/>
        </w:numPr>
        <w:jc w:val="both"/>
        <w:rPr>
          <w:lang w:val="en-US"/>
        </w:rPr>
      </w:pPr>
      <w:r>
        <w:rPr>
          <w:lang w:val="en-US"/>
        </w:rPr>
        <w:t>Demonstrated expertise in quantitative and qualitative methods</w:t>
      </w:r>
    </w:p>
    <w:p w14:paraId="797342CE" w14:textId="6E91E4E3" w:rsidR="00B12101" w:rsidRDefault="00762118" w:rsidP="00CA2D57">
      <w:pPr>
        <w:pStyle w:val="ListParagraph"/>
        <w:numPr>
          <w:ilvl w:val="0"/>
          <w:numId w:val="38"/>
        </w:numPr>
        <w:jc w:val="both"/>
        <w:rPr>
          <w:lang w:val="en-US"/>
        </w:rPr>
      </w:pPr>
      <w:r>
        <w:rPr>
          <w:lang w:val="en-US"/>
        </w:rPr>
        <w:t>Experience working in countries/regions that NPA programming takes place i</w:t>
      </w:r>
      <w:r w:rsidR="003A5B4E">
        <w:rPr>
          <w:lang w:val="en-US"/>
        </w:rPr>
        <w:t>s</w:t>
      </w:r>
      <w:r>
        <w:rPr>
          <w:lang w:val="en-US"/>
        </w:rPr>
        <w:t xml:space="preserve"> desired</w:t>
      </w:r>
    </w:p>
    <w:p w14:paraId="3E87DB6F" w14:textId="3B5137AD" w:rsidR="00762118" w:rsidRDefault="00F155B8" w:rsidP="00CA2D57">
      <w:pPr>
        <w:pStyle w:val="ListParagraph"/>
        <w:numPr>
          <w:ilvl w:val="0"/>
          <w:numId w:val="38"/>
        </w:numPr>
        <w:jc w:val="both"/>
        <w:rPr>
          <w:lang w:val="en-US"/>
        </w:rPr>
      </w:pPr>
      <w:r>
        <w:rPr>
          <w:lang w:val="en-US"/>
        </w:rPr>
        <w:t>Fluency in English with excellent writing and presentation skills</w:t>
      </w:r>
    </w:p>
    <w:p w14:paraId="1C93420F" w14:textId="28A25077" w:rsidR="00F020D4" w:rsidRPr="00CA2D57" w:rsidRDefault="00F020D4" w:rsidP="00CA2D57">
      <w:pPr>
        <w:pStyle w:val="ListParagraph"/>
        <w:numPr>
          <w:ilvl w:val="0"/>
          <w:numId w:val="38"/>
        </w:numPr>
        <w:jc w:val="both"/>
        <w:rPr>
          <w:lang w:val="en-US"/>
        </w:rPr>
      </w:pPr>
      <w:r>
        <w:rPr>
          <w:lang w:val="en-US"/>
        </w:rPr>
        <w:t>Fluency in additional relevant languages (Spanish, Arabic</w:t>
      </w:r>
      <w:r w:rsidR="001A1635">
        <w:rPr>
          <w:lang w:val="en-US"/>
        </w:rPr>
        <w:t xml:space="preserve">) </w:t>
      </w:r>
      <w:r w:rsidR="006E247D">
        <w:rPr>
          <w:lang w:val="en-US"/>
        </w:rPr>
        <w:t>an advantage</w:t>
      </w:r>
    </w:p>
    <w:p w14:paraId="76C6E1E7" w14:textId="77777777" w:rsidR="00A31604" w:rsidRDefault="00A31604" w:rsidP="00DE2C35">
      <w:pPr>
        <w:jc w:val="both"/>
        <w:rPr>
          <w:lang w:val="en-US"/>
        </w:rPr>
      </w:pPr>
    </w:p>
    <w:p w14:paraId="7F412698" w14:textId="52D4478A" w:rsidR="00A31604" w:rsidRPr="00A31604" w:rsidRDefault="00A31604" w:rsidP="00A31604">
      <w:pPr>
        <w:pStyle w:val="Heading1"/>
        <w:numPr>
          <w:ilvl w:val="0"/>
          <w:numId w:val="35"/>
        </w:numPr>
        <w:rPr>
          <w:lang w:val="en-US"/>
        </w:rPr>
      </w:pPr>
      <w:r>
        <w:rPr>
          <w:lang w:val="en-US"/>
        </w:rPr>
        <w:t>Application requirements</w:t>
      </w:r>
    </w:p>
    <w:p w14:paraId="2719D64F" w14:textId="77777777" w:rsidR="003A5B4E" w:rsidRDefault="003A5B4E" w:rsidP="003A5B4E">
      <w:pPr>
        <w:pStyle w:val="BodyText"/>
      </w:pPr>
    </w:p>
    <w:p w14:paraId="5982275F" w14:textId="00251872" w:rsidR="00013C3C" w:rsidRPr="008D1CD9" w:rsidRDefault="008D1CD9" w:rsidP="008D1CD9">
      <w:pPr>
        <w:pStyle w:val="ListParagraph"/>
        <w:numPr>
          <w:ilvl w:val="0"/>
          <w:numId w:val="44"/>
        </w:numPr>
        <w:rPr>
          <w:rFonts w:ascii="Times New Roman" w:eastAsia="Times New Roman" w:hAnsi="Times New Roman" w:cs="Times New Roman"/>
          <w:szCs w:val="24"/>
          <w:lang w:val="en-US" w:eastAsia="en-US"/>
        </w:rPr>
      </w:pPr>
      <w:r>
        <w:rPr>
          <w:rFonts w:ascii="Times New Roman" w:eastAsia="Times New Roman" w:hAnsi="Times New Roman" w:cs="Times New Roman"/>
          <w:szCs w:val="24"/>
          <w:lang w:val="en-US" w:eastAsia="en-US"/>
        </w:rPr>
        <w:t>The technical application should include:</w:t>
      </w:r>
    </w:p>
    <w:p w14:paraId="7849B2BB" w14:textId="3BDC5AD0" w:rsidR="00013C3C" w:rsidRPr="008F0089" w:rsidRDefault="00013C3C" w:rsidP="008F0089">
      <w:pPr>
        <w:pStyle w:val="ListParagraph"/>
        <w:numPr>
          <w:ilvl w:val="1"/>
          <w:numId w:val="38"/>
        </w:numPr>
        <w:rPr>
          <w:rFonts w:ascii="Times New Roman" w:eastAsia="Times New Roman" w:hAnsi="Times New Roman" w:cs="Times New Roman"/>
          <w:szCs w:val="24"/>
          <w:lang w:val="en-US" w:eastAsia="en-US"/>
        </w:rPr>
      </w:pPr>
      <w:r w:rsidRPr="008F0089">
        <w:rPr>
          <w:rFonts w:ascii="Times New Roman" w:eastAsia="Times New Roman" w:hAnsi="Times New Roman" w:cs="Times New Roman"/>
          <w:szCs w:val="24"/>
          <w:lang w:eastAsia="en-US"/>
        </w:rPr>
        <w:t>Brief explanation about the lead and associate consultants with particular emphasis on previous experience in similar assignments.</w:t>
      </w:r>
      <w:r w:rsidRPr="008F0089">
        <w:rPr>
          <w:rFonts w:ascii="Times New Roman" w:eastAsia="Times New Roman" w:hAnsi="Times New Roman" w:cs="Times New Roman"/>
          <w:szCs w:val="24"/>
          <w:lang w:val="en-US" w:eastAsia="en-US"/>
        </w:rPr>
        <w:t> </w:t>
      </w:r>
    </w:p>
    <w:p w14:paraId="3E5ABB00" w14:textId="13EA29B4" w:rsidR="00013C3C" w:rsidRPr="008F0089" w:rsidRDefault="00013C3C" w:rsidP="008A4FAA">
      <w:pPr>
        <w:pStyle w:val="ListParagraph"/>
        <w:numPr>
          <w:ilvl w:val="1"/>
          <w:numId w:val="38"/>
        </w:numPr>
        <w:rPr>
          <w:rFonts w:ascii="Times New Roman" w:eastAsia="Times New Roman" w:hAnsi="Times New Roman" w:cs="Times New Roman"/>
          <w:szCs w:val="24"/>
          <w:lang w:val="en-US" w:eastAsia="en-US"/>
        </w:rPr>
      </w:pPr>
      <w:r w:rsidRPr="008F0089">
        <w:rPr>
          <w:rFonts w:ascii="Times New Roman" w:eastAsia="Times New Roman" w:hAnsi="Times New Roman" w:cs="Times New Roman"/>
          <w:szCs w:val="24"/>
          <w:lang w:eastAsia="en-US"/>
        </w:rPr>
        <w:t>Understanding of the terms of reference for this assignment in line with the overall and specific objectives. </w:t>
      </w:r>
      <w:r w:rsidRPr="008F0089">
        <w:rPr>
          <w:rFonts w:ascii="Times New Roman" w:eastAsia="Times New Roman" w:hAnsi="Times New Roman" w:cs="Times New Roman"/>
          <w:szCs w:val="24"/>
          <w:lang w:val="en-US" w:eastAsia="en-US"/>
        </w:rPr>
        <w:t> </w:t>
      </w:r>
    </w:p>
    <w:p w14:paraId="39C4CDA3" w14:textId="469196A8" w:rsidR="00013C3C" w:rsidRPr="0056359B" w:rsidRDefault="005C5A95" w:rsidP="008A4FAA">
      <w:pPr>
        <w:pStyle w:val="ListParagraph"/>
        <w:numPr>
          <w:ilvl w:val="1"/>
          <w:numId w:val="38"/>
        </w:numPr>
        <w:rPr>
          <w:rFonts w:ascii="Times New Roman" w:eastAsia="Times New Roman" w:hAnsi="Times New Roman" w:cs="Times New Roman"/>
          <w:szCs w:val="24"/>
          <w:lang w:val="en-US" w:eastAsia="en-US"/>
        </w:rPr>
      </w:pPr>
      <w:r>
        <w:rPr>
          <w:rFonts w:ascii="Times New Roman" w:eastAsia="Times New Roman" w:hAnsi="Times New Roman" w:cs="Times New Roman"/>
          <w:szCs w:val="24"/>
          <w:lang w:eastAsia="en-US"/>
        </w:rPr>
        <w:t xml:space="preserve">Illustrative methodology and </w:t>
      </w:r>
      <w:r w:rsidR="003B5CBC">
        <w:rPr>
          <w:rFonts w:ascii="Times New Roman" w:eastAsia="Times New Roman" w:hAnsi="Times New Roman" w:cs="Times New Roman"/>
          <w:szCs w:val="24"/>
          <w:lang w:eastAsia="en-US"/>
        </w:rPr>
        <w:t>5-year</w:t>
      </w:r>
      <w:r>
        <w:rPr>
          <w:rFonts w:ascii="Times New Roman" w:eastAsia="Times New Roman" w:hAnsi="Times New Roman" w:cs="Times New Roman"/>
          <w:szCs w:val="24"/>
          <w:lang w:eastAsia="en-US"/>
        </w:rPr>
        <w:t xml:space="preserve"> workplan</w:t>
      </w:r>
    </w:p>
    <w:p w14:paraId="2B5D1411" w14:textId="5EA6933E" w:rsidR="0056359B" w:rsidRDefault="006F072B" w:rsidP="0056359B">
      <w:pPr>
        <w:pStyle w:val="ListParagraph"/>
        <w:numPr>
          <w:ilvl w:val="0"/>
          <w:numId w:val="44"/>
        </w:numPr>
        <w:rPr>
          <w:rFonts w:ascii="Times New Roman" w:eastAsia="Times New Roman" w:hAnsi="Times New Roman" w:cs="Times New Roman"/>
          <w:szCs w:val="24"/>
          <w:lang w:val="en-US" w:eastAsia="en-US"/>
        </w:rPr>
      </w:pPr>
      <w:r>
        <w:rPr>
          <w:rFonts w:ascii="Times New Roman" w:eastAsia="Times New Roman" w:hAnsi="Times New Roman" w:cs="Times New Roman"/>
          <w:szCs w:val="24"/>
          <w:lang w:val="en-US" w:eastAsia="en-US"/>
        </w:rPr>
        <w:t>Financial proposal: This should be presented in NOK and should include the consultancy fees only</w:t>
      </w:r>
      <w:r w:rsidR="004365AF">
        <w:rPr>
          <w:rFonts w:ascii="Times New Roman" w:eastAsia="Times New Roman" w:hAnsi="Times New Roman" w:cs="Times New Roman"/>
          <w:szCs w:val="24"/>
          <w:lang w:val="en-US" w:eastAsia="en-US"/>
        </w:rPr>
        <w:t xml:space="preserve">. The number of consultants/researchers to be engaged in the assignment and their </w:t>
      </w:r>
      <w:r w:rsidR="002E25F8">
        <w:rPr>
          <w:rFonts w:ascii="Times New Roman" w:eastAsia="Times New Roman" w:hAnsi="Times New Roman" w:cs="Times New Roman"/>
          <w:szCs w:val="24"/>
          <w:lang w:val="en-US" w:eastAsia="en-US"/>
        </w:rPr>
        <w:t>costs.</w:t>
      </w:r>
    </w:p>
    <w:p w14:paraId="36E79CC4" w14:textId="320C93F2" w:rsidR="002E25F8" w:rsidRDefault="002E25F8" w:rsidP="0056359B">
      <w:pPr>
        <w:pStyle w:val="ListParagraph"/>
        <w:numPr>
          <w:ilvl w:val="0"/>
          <w:numId w:val="44"/>
        </w:numPr>
        <w:rPr>
          <w:rFonts w:ascii="Times New Roman" w:eastAsia="Times New Roman" w:hAnsi="Times New Roman" w:cs="Times New Roman"/>
          <w:szCs w:val="24"/>
          <w:lang w:val="en-US" w:eastAsia="en-US"/>
        </w:rPr>
      </w:pPr>
      <w:r>
        <w:rPr>
          <w:rFonts w:ascii="Times New Roman" w:eastAsia="Times New Roman" w:hAnsi="Times New Roman" w:cs="Times New Roman"/>
          <w:szCs w:val="24"/>
          <w:lang w:val="en-US" w:eastAsia="en-US"/>
        </w:rPr>
        <w:t>Examples of previous work conducted that relate to this assignment</w:t>
      </w:r>
    </w:p>
    <w:p w14:paraId="070379CF" w14:textId="49F165BB" w:rsidR="002E25F8" w:rsidRDefault="008F273A" w:rsidP="0056359B">
      <w:pPr>
        <w:pStyle w:val="ListParagraph"/>
        <w:numPr>
          <w:ilvl w:val="0"/>
          <w:numId w:val="44"/>
        </w:numPr>
        <w:rPr>
          <w:rFonts w:ascii="Times New Roman" w:eastAsia="Times New Roman" w:hAnsi="Times New Roman" w:cs="Times New Roman"/>
          <w:szCs w:val="24"/>
          <w:lang w:val="en-US" w:eastAsia="en-US"/>
        </w:rPr>
      </w:pPr>
      <w:r>
        <w:rPr>
          <w:rFonts w:ascii="Times New Roman" w:eastAsia="Times New Roman" w:hAnsi="Times New Roman" w:cs="Times New Roman"/>
          <w:szCs w:val="24"/>
          <w:lang w:val="en-US" w:eastAsia="en-US"/>
        </w:rPr>
        <w:t>Organizational</w:t>
      </w:r>
      <w:r w:rsidR="002E25F8">
        <w:rPr>
          <w:rFonts w:ascii="Times New Roman" w:eastAsia="Times New Roman" w:hAnsi="Times New Roman" w:cs="Times New Roman"/>
          <w:szCs w:val="24"/>
          <w:lang w:val="en-US" w:eastAsia="en-US"/>
        </w:rPr>
        <w:t xml:space="preserve"> </w:t>
      </w:r>
      <w:r w:rsidR="0066145B">
        <w:rPr>
          <w:rFonts w:ascii="Times New Roman" w:eastAsia="Times New Roman" w:hAnsi="Times New Roman" w:cs="Times New Roman"/>
          <w:szCs w:val="24"/>
          <w:lang w:val="en-US" w:eastAsia="en-US"/>
        </w:rPr>
        <w:t>capacity statement</w:t>
      </w:r>
    </w:p>
    <w:p w14:paraId="08EA0A68" w14:textId="081FD9C3" w:rsidR="0066145B" w:rsidRDefault="008F273A" w:rsidP="0056359B">
      <w:pPr>
        <w:pStyle w:val="ListParagraph"/>
        <w:numPr>
          <w:ilvl w:val="0"/>
          <w:numId w:val="44"/>
        </w:numPr>
        <w:rPr>
          <w:rFonts w:ascii="Times New Roman" w:eastAsia="Times New Roman" w:hAnsi="Times New Roman" w:cs="Times New Roman"/>
          <w:szCs w:val="24"/>
          <w:lang w:val="en-US" w:eastAsia="en-US"/>
        </w:rPr>
      </w:pPr>
      <w:r>
        <w:rPr>
          <w:rFonts w:ascii="Times New Roman" w:eastAsia="Times New Roman" w:hAnsi="Times New Roman" w:cs="Times New Roman"/>
          <w:szCs w:val="24"/>
          <w:lang w:val="en-US" w:eastAsia="en-US"/>
        </w:rPr>
        <w:t xml:space="preserve">Resume of the </w:t>
      </w:r>
      <w:r w:rsidR="00F35E84">
        <w:rPr>
          <w:rFonts w:ascii="Times New Roman" w:eastAsia="Times New Roman" w:hAnsi="Times New Roman" w:cs="Times New Roman"/>
          <w:szCs w:val="24"/>
          <w:lang w:val="en-US" w:eastAsia="en-US"/>
        </w:rPr>
        <w:t>lead consultants/researchers</w:t>
      </w:r>
      <w:r w:rsidR="00CE6CB7">
        <w:rPr>
          <w:rFonts w:ascii="Times New Roman" w:eastAsia="Times New Roman" w:hAnsi="Times New Roman" w:cs="Times New Roman"/>
          <w:szCs w:val="24"/>
          <w:lang w:val="en-US" w:eastAsia="en-US"/>
        </w:rPr>
        <w:t xml:space="preserve"> </w:t>
      </w:r>
    </w:p>
    <w:p w14:paraId="694995AB" w14:textId="77777777" w:rsidR="004412B4" w:rsidRDefault="004412B4" w:rsidP="004412B4">
      <w:pPr>
        <w:rPr>
          <w:rFonts w:ascii="Times New Roman" w:eastAsia="Times New Roman" w:hAnsi="Times New Roman" w:cs="Times New Roman"/>
          <w:szCs w:val="24"/>
          <w:lang w:val="en-US" w:eastAsia="en-US"/>
        </w:rPr>
      </w:pPr>
    </w:p>
    <w:p w14:paraId="47FDCBBD" w14:textId="45DA1F26" w:rsidR="004412B4" w:rsidRDefault="007129AF" w:rsidP="007129AF">
      <w:pPr>
        <w:pStyle w:val="Heading1"/>
        <w:numPr>
          <w:ilvl w:val="0"/>
          <w:numId w:val="35"/>
        </w:numPr>
        <w:rPr>
          <w:lang w:val="en-US" w:eastAsia="en-US"/>
        </w:rPr>
      </w:pPr>
      <w:r>
        <w:rPr>
          <w:lang w:val="en-US" w:eastAsia="en-US"/>
        </w:rPr>
        <w:t>Evaluation criteria</w:t>
      </w:r>
    </w:p>
    <w:p w14:paraId="69FADBAD" w14:textId="4D8ED722" w:rsidR="003B5CBC" w:rsidRDefault="00187A2B" w:rsidP="003B5CBC">
      <w:pPr>
        <w:rPr>
          <w:lang w:val="en-US" w:eastAsia="en-US"/>
        </w:rPr>
      </w:pPr>
      <w:r>
        <w:rPr>
          <w:lang w:val="en-US" w:eastAsia="en-US"/>
        </w:rPr>
        <w:t>The</w:t>
      </w:r>
      <w:r w:rsidR="00FA4F2E">
        <w:rPr>
          <w:lang w:val="en-US" w:eastAsia="en-US"/>
        </w:rPr>
        <w:t xml:space="preserve"> applications will be evaluated against the following criteria:</w:t>
      </w:r>
    </w:p>
    <w:p w14:paraId="60C81B8B" w14:textId="05B02281" w:rsidR="00FA4F2E" w:rsidRDefault="00573201" w:rsidP="00D42228">
      <w:pPr>
        <w:pStyle w:val="ListParagraph"/>
        <w:numPr>
          <w:ilvl w:val="0"/>
          <w:numId w:val="46"/>
        </w:numPr>
        <w:rPr>
          <w:lang w:val="en-US" w:eastAsia="en-US"/>
        </w:rPr>
      </w:pPr>
      <w:r>
        <w:rPr>
          <w:lang w:val="en-US" w:eastAsia="en-US"/>
        </w:rPr>
        <w:t>Prop</w:t>
      </w:r>
      <w:r w:rsidR="00D42228">
        <w:rPr>
          <w:lang w:val="en-US" w:eastAsia="en-US"/>
        </w:rPr>
        <w:t>osed methodol</w:t>
      </w:r>
      <w:r w:rsidR="004E64F4">
        <w:rPr>
          <w:lang w:val="en-US" w:eastAsia="en-US"/>
        </w:rPr>
        <w:t>ogy; the inclusion of both qualitative and quantitative methods</w:t>
      </w:r>
      <w:r w:rsidR="005F2D54">
        <w:rPr>
          <w:lang w:val="en-US" w:eastAsia="en-US"/>
        </w:rPr>
        <w:t xml:space="preserve"> and the level of participation</w:t>
      </w:r>
      <w:r w:rsidR="00CF76CC">
        <w:rPr>
          <w:lang w:val="en-US" w:eastAsia="en-US"/>
        </w:rPr>
        <w:t xml:space="preserve"> incorporated</w:t>
      </w:r>
    </w:p>
    <w:p w14:paraId="7D5D079A" w14:textId="3557D2E2" w:rsidR="00764E15" w:rsidRDefault="00F37139" w:rsidP="00D42228">
      <w:pPr>
        <w:pStyle w:val="ListParagraph"/>
        <w:numPr>
          <w:ilvl w:val="0"/>
          <w:numId w:val="46"/>
        </w:numPr>
        <w:rPr>
          <w:lang w:val="en-US" w:eastAsia="en-US"/>
        </w:rPr>
      </w:pPr>
      <w:r>
        <w:rPr>
          <w:lang w:val="en-US" w:eastAsia="en-US"/>
        </w:rPr>
        <w:t>E</w:t>
      </w:r>
      <w:r w:rsidR="00343D5A">
        <w:rPr>
          <w:lang w:val="en-US" w:eastAsia="en-US"/>
        </w:rPr>
        <w:t>xtent of e</w:t>
      </w:r>
      <w:r>
        <w:rPr>
          <w:lang w:val="en-US" w:eastAsia="en-US"/>
        </w:rPr>
        <w:t>xperience conducting research</w:t>
      </w:r>
      <w:r w:rsidR="0056359C">
        <w:rPr>
          <w:lang w:val="en-US" w:eastAsia="en-US"/>
        </w:rPr>
        <w:t xml:space="preserve"> and evaluations</w:t>
      </w:r>
      <w:r w:rsidR="00CB168E">
        <w:rPr>
          <w:lang w:val="en-US" w:eastAsia="en-US"/>
        </w:rPr>
        <w:t xml:space="preserve"> in similar thematic </w:t>
      </w:r>
      <w:r w:rsidR="00FB23EE">
        <w:rPr>
          <w:lang w:val="en-US" w:eastAsia="en-US"/>
        </w:rPr>
        <w:t xml:space="preserve">and geographic </w:t>
      </w:r>
      <w:r w:rsidR="00CB168E">
        <w:rPr>
          <w:lang w:val="en-US" w:eastAsia="en-US"/>
        </w:rPr>
        <w:t>areas</w:t>
      </w:r>
    </w:p>
    <w:p w14:paraId="5E6DA723" w14:textId="2562E9AD" w:rsidR="00231D41" w:rsidRDefault="00FB23EE" w:rsidP="00D42228">
      <w:pPr>
        <w:pStyle w:val="ListParagraph"/>
        <w:numPr>
          <w:ilvl w:val="0"/>
          <w:numId w:val="46"/>
        </w:numPr>
        <w:rPr>
          <w:lang w:val="en-US" w:eastAsia="en-US"/>
        </w:rPr>
      </w:pPr>
      <w:r>
        <w:rPr>
          <w:lang w:val="en-US" w:eastAsia="en-US"/>
        </w:rPr>
        <w:t xml:space="preserve">Extent </w:t>
      </w:r>
      <w:r w:rsidR="00D7288A">
        <w:rPr>
          <w:lang w:val="en-US" w:eastAsia="en-US"/>
        </w:rPr>
        <w:t xml:space="preserve">of </w:t>
      </w:r>
      <w:r w:rsidR="00C60E74">
        <w:rPr>
          <w:lang w:val="en-US" w:eastAsia="en-US"/>
        </w:rPr>
        <w:t xml:space="preserve">technical capacity and </w:t>
      </w:r>
      <w:r w:rsidR="00D7288A">
        <w:rPr>
          <w:lang w:val="en-US" w:eastAsia="en-US"/>
        </w:rPr>
        <w:t>experience</w:t>
      </w:r>
      <w:r w:rsidR="004D42C1">
        <w:rPr>
          <w:lang w:val="en-US" w:eastAsia="en-US"/>
        </w:rPr>
        <w:t xml:space="preserve"> with diverse methods </w:t>
      </w:r>
      <w:r w:rsidR="005819AF">
        <w:rPr>
          <w:lang w:val="en-US" w:eastAsia="en-US"/>
        </w:rPr>
        <w:t>and approaches</w:t>
      </w:r>
      <w:r w:rsidR="00260D41">
        <w:rPr>
          <w:lang w:val="en-US" w:eastAsia="en-US"/>
        </w:rPr>
        <w:t xml:space="preserve"> of collecting, analyzing</w:t>
      </w:r>
      <w:r w:rsidR="00D81864">
        <w:rPr>
          <w:lang w:val="en-US" w:eastAsia="en-US"/>
        </w:rPr>
        <w:t>, presenting and reporting</w:t>
      </w:r>
      <w:r w:rsidR="00BB2EF7">
        <w:rPr>
          <w:lang w:val="en-US" w:eastAsia="en-US"/>
        </w:rPr>
        <w:t xml:space="preserve"> quantitative and qualitative data</w:t>
      </w:r>
    </w:p>
    <w:p w14:paraId="00AE3B25" w14:textId="2D0760B9" w:rsidR="00DC7FF0" w:rsidRDefault="00DC7FF0" w:rsidP="00D42228">
      <w:pPr>
        <w:pStyle w:val="ListParagraph"/>
        <w:numPr>
          <w:ilvl w:val="0"/>
          <w:numId w:val="46"/>
        </w:numPr>
        <w:rPr>
          <w:lang w:val="en-US" w:eastAsia="en-US"/>
        </w:rPr>
      </w:pPr>
      <w:r>
        <w:rPr>
          <w:lang w:val="en-US" w:eastAsia="en-US"/>
        </w:rPr>
        <w:t xml:space="preserve">Capacity to facilitate </w:t>
      </w:r>
      <w:r w:rsidR="0061208F">
        <w:rPr>
          <w:lang w:val="en-US" w:eastAsia="en-US"/>
        </w:rPr>
        <w:t>planning and learning</w:t>
      </w:r>
      <w:r w:rsidR="00433387">
        <w:rPr>
          <w:lang w:val="en-US" w:eastAsia="en-US"/>
        </w:rPr>
        <w:t>, and capacity to communicate to different audiences</w:t>
      </w:r>
    </w:p>
    <w:p w14:paraId="6D4B6FFA" w14:textId="13CE771D" w:rsidR="004D4603" w:rsidRDefault="004D4603" w:rsidP="00D42228">
      <w:pPr>
        <w:pStyle w:val="ListParagraph"/>
        <w:numPr>
          <w:ilvl w:val="0"/>
          <w:numId w:val="46"/>
        </w:numPr>
        <w:rPr>
          <w:lang w:val="en-US" w:eastAsia="en-US"/>
        </w:rPr>
      </w:pPr>
      <w:r>
        <w:rPr>
          <w:lang w:val="en-US" w:eastAsia="en-US"/>
        </w:rPr>
        <w:t>Creativity and innovation in proposed approaches</w:t>
      </w:r>
    </w:p>
    <w:p w14:paraId="4D734B8A" w14:textId="415B8D78" w:rsidR="00430698" w:rsidRDefault="00430698" w:rsidP="00D42228">
      <w:pPr>
        <w:pStyle w:val="ListParagraph"/>
        <w:numPr>
          <w:ilvl w:val="0"/>
          <w:numId w:val="46"/>
        </w:numPr>
        <w:rPr>
          <w:lang w:val="en-US" w:eastAsia="en-US"/>
        </w:rPr>
      </w:pPr>
      <w:r>
        <w:rPr>
          <w:lang w:val="en-US" w:eastAsia="en-US"/>
        </w:rPr>
        <w:t xml:space="preserve">Cost efficiency </w:t>
      </w:r>
    </w:p>
    <w:p w14:paraId="24ABFF50" w14:textId="77777777" w:rsidR="007611B3" w:rsidRDefault="007611B3" w:rsidP="007611B3">
      <w:pPr>
        <w:rPr>
          <w:lang w:val="en-US" w:eastAsia="en-US"/>
        </w:rPr>
      </w:pPr>
    </w:p>
    <w:p w14:paraId="4DC3E23B" w14:textId="0B689700" w:rsidR="007611B3" w:rsidRDefault="00DE4A5F" w:rsidP="00DE4A5F">
      <w:pPr>
        <w:pStyle w:val="Heading1"/>
        <w:numPr>
          <w:ilvl w:val="0"/>
          <w:numId w:val="35"/>
        </w:numPr>
        <w:rPr>
          <w:lang w:val="en-US" w:eastAsia="en-US"/>
        </w:rPr>
      </w:pPr>
      <w:r>
        <w:rPr>
          <w:lang w:val="en-US" w:eastAsia="en-US"/>
        </w:rPr>
        <w:lastRenderedPageBreak/>
        <w:t>How to apply</w:t>
      </w:r>
    </w:p>
    <w:p w14:paraId="5000592C" w14:textId="77777777" w:rsidR="00105A87" w:rsidRDefault="00105A87" w:rsidP="00105A87">
      <w:pPr>
        <w:rPr>
          <w:lang w:val="en-US" w:eastAsia="en-US"/>
        </w:rPr>
      </w:pPr>
    </w:p>
    <w:p w14:paraId="4B794FC8" w14:textId="4C4F55F6" w:rsidR="00105A87" w:rsidRPr="00105A87" w:rsidRDefault="00B464AF" w:rsidP="00105A87">
      <w:pPr>
        <w:rPr>
          <w:lang w:val="en-US" w:eastAsia="en-US"/>
        </w:rPr>
      </w:pPr>
      <w:r w:rsidRPr="00B464AF">
        <w:rPr>
          <w:lang w:eastAsia="en-US"/>
        </w:rPr>
        <w:t>Interested applicants should submit applications by email to</w:t>
      </w:r>
      <w:r w:rsidRPr="00B464AF">
        <w:rPr>
          <w:b/>
          <w:bCs/>
          <w:lang w:eastAsia="en-US"/>
        </w:rPr>
        <w:t xml:space="preserve"> tenders@npaid.org </w:t>
      </w:r>
      <w:r w:rsidRPr="00B464AF">
        <w:rPr>
          <w:lang w:eastAsia="en-US"/>
        </w:rPr>
        <w:t>with the subject “</w:t>
      </w:r>
      <w:r>
        <w:rPr>
          <w:lang w:eastAsia="en-US"/>
        </w:rPr>
        <w:t>Civil Society Research Partner</w:t>
      </w:r>
      <w:r w:rsidRPr="00B464AF">
        <w:rPr>
          <w:lang w:eastAsia="en-US"/>
        </w:rPr>
        <w:t xml:space="preserve">” on or before </w:t>
      </w:r>
      <w:r w:rsidRPr="00B464AF">
        <w:rPr>
          <w:b/>
          <w:bCs/>
          <w:lang w:eastAsia="en-US"/>
        </w:rPr>
        <w:t>30</w:t>
      </w:r>
      <w:r w:rsidRPr="00B464AF">
        <w:rPr>
          <w:b/>
          <w:bCs/>
          <w:vertAlign w:val="superscript"/>
          <w:lang w:eastAsia="en-US"/>
        </w:rPr>
        <w:t>th</w:t>
      </w:r>
      <w:r w:rsidRPr="00B464AF">
        <w:rPr>
          <w:b/>
          <w:bCs/>
          <w:lang w:eastAsia="en-US"/>
        </w:rPr>
        <w:t xml:space="preserve"> </w:t>
      </w:r>
      <w:r w:rsidR="00DC3415">
        <w:rPr>
          <w:b/>
          <w:bCs/>
          <w:lang w:eastAsia="en-US"/>
        </w:rPr>
        <w:t>May</w:t>
      </w:r>
      <w:r w:rsidRPr="00B464AF">
        <w:rPr>
          <w:b/>
          <w:bCs/>
          <w:lang w:eastAsia="en-US"/>
        </w:rPr>
        <w:t xml:space="preserve"> 202</w:t>
      </w:r>
      <w:r w:rsidR="00DC3415">
        <w:rPr>
          <w:b/>
          <w:bCs/>
          <w:lang w:eastAsia="en-US"/>
        </w:rPr>
        <w:t>5</w:t>
      </w:r>
      <w:r w:rsidRPr="00B464AF">
        <w:rPr>
          <w:b/>
          <w:bCs/>
          <w:lang w:eastAsia="en-US"/>
        </w:rPr>
        <w:t xml:space="preserve"> at 4.00 PM CET time.</w:t>
      </w:r>
      <w:r w:rsidRPr="00B464AF">
        <w:rPr>
          <w:lang w:eastAsia="en-US"/>
        </w:rPr>
        <w:t xml:space="preserve"> Any applications submitted after this date and time will not be considered.  </w:t>
      </w:r>
    </w:p>
    <w:p w14:paraId="12F020B5" w14:textId="77777777" w:rsidR="003A5B4E" w:rsidRPr="003A5B4E" w:rsidRDefault="003A5B4E" w:rsidP="003A5B4E"/>
    <w:p w14:paraId="3C1390AF" w14:textId="753B83DE" w:rsidR="00791C9C" w:rsidRDefault="00A94B38" w:rsidP="00475AF3">
      <w:pPr>
        <w:pStyle w:val="Heading1"/>
        <w:numPr>
          <w:ilvl w:val="0"/>
          <w:numId w:val="35"/>
        </w:numPr>
      </w:pPr>
      <w:r>
        <w:t>Annexes</w:t>
      </w:r>
    </w:p>
    <w:p w14:paraId="10B3BCE1" w14:textId="77777777" w:rsidR="00A204C4" w:rsidRDefault="00A204C4" w:rsidP="007323BD">
      <w:pPr>
        <w:rPr>
          <w:rStyle w:val="Heading5Char"/>
        </w:rPr>
      </w:pPr>
    </w:p>
    <w:p w14:paraId="538D1701" w14:textId="6551DDB8" w:rsidR="00791C9C" w:rsidRDefault="00791C9C" w:rsidP="007323BD">
      <w:r w:rsidRPr="00475AF3">
        <w:rPr>
          <w:rStyle w:val="Heading5Char"/>
        </w:rPr>
        <w:t>Annex 1:</w:t>
      </w:r>
      <w:r w:rsidR="00EB7B37">
        <w:t xml:space="preserve"> </w:t>
      </w:r>
      <w:r w:rsidR="00EB7B37" w:rsidRPr="00EB7B37">
        <w:rPr>
          <w:b/>
          <w:bCs/>
        </w:rPr>
        <w:t>NORWEGIAN PEOPLE'S AID ETHICAL STANDARDS FOR PROCUREMENT, INVESTMENT AND FUNDRAISING</w:t>
      </w:r>
      <w:r>
        <w:t xml:space="preserve"> </w:t>
      </w:r>
    </w:p>
    <w:p w14:paraId="0326FDDC" w14:textId="77777777" w:rsidR="00464DC1" w:rsidRPr="00464DC1" w:rsidRDefault="00464DC1" w:rsidP="00464DC1">
      <w:pPr>
        <w:rPr>
          <w:lang w:val="en-US"/>
        </w:rPr>
      </w:pPr>
      <w:r w:rsidRPr="00464DC1">
        <w:rPr>
          <w:lang w:val="en-US"/>
        </w:rPr>
        <w:t>Approved by the Board of Norwegian People’s Aid on 31st May 2013; revised on 20th September 2014, 10th June 2016, 24th September 2021 and 24th March 2023.</w:t>
      </w:r>
    </w:p>
    <w:p w14:paraId="09E59B5F" w14:textId="77777777" w:rsidR="00464DC1" w:rsidRPr="00464DC1" w:rsidRDefault="00464DC1" w:rsidP="00464DC1">
      <w:pPr>
        <w:rPr>
          <w:lang w:val="en-US"/>
        </w:rPr>
      </w:pPr>
      <w:r w:rsidRPr="00464DC1">
        <w:rPr>
          <w:lang w:val="en-US"/>
        </w:rPr>
        <w:t>I - Introduction</w:t>
      </w:r>
    </w:p>
    <w:p w14:paraId="488632B4" w14:textId="77777777" w:rsidR="00464DC1" w:rsidRPr="00464DC1" w:rsidRDefault="00464DC1" w:rsidP="00464DC1">
      <w:pPr>
        <w:rPr>
          <w:lang w:val="en-US"/>
        </w:rPr>
      </w:pPr>
      <w:r w:rsidRPr="00464DC1">
        <w:rPr>
          <w:lang w:val="en-US"/>
        </w:rPr>
        <w:t>These ethical standards are approved by the Board of Norwegian People's Aid (NPA) and apply to our own employees, suppliers, investment managers, business partners and donors.</w:t>
      </w:r>
    </w:p>
    <w:p w14:paraId="5F53EDC9" w14:textId="77777777" w:rsidR="00464DC1" w:rsidRPr="00464DC1" w:rsidRDefault="00464DC1" w:rsidP="00464DC1">
      <w:pPr>
        <w:rPr>
          <w:lang w:val="en-US"/>
        </w:rPr>
      </w:pPr>
      <w:r w:rsidRPr="00464DC1">
        <w:rPr>
          <w:lang w:val="en-US"/>
        </w:rPr>
        <w:t>The standards are based on the Universal Declaration of Human Rights and the ILO Conventions, the UN Guiding Principles on Business and Human Rights and the OECD Guidelines for Multinational Enterprises, as well as the Transparency Act and other conventions on fundamental human rights and decent working conditions.</w:t>
      </w:r>
    </w:p>
    <w:p w14:paraId="31D610BC" w14:textId="77777777" w:rsidR="00464DC1" w:rsidRPr="00464DC1" w:rsidRDefault="00464DC1" w:rsidP="00464DC1">
      <w:pPr>
        <w:rPr>
          <w:lang w:val="en-US"/>
        </w:rPr>
      </w:pPr>
      <w:r w:rsidRPr="00464DC1">
        <w:rPr>
          <w:lang w:val="en-US"/>
        </w:rPr>
        <w:t>NPA considers responsible procurement practice to be one of our most important tools in working for sustainable business practices. NPA therefore adapts its own</w:t>
      </w:r>
    </w:p>
    <w:p w14:paraId="7C4CD888" w14:textId="77777777" w:rsidR="00464DC1" w:rsidRPr="00464DC1" w:rsidRDefault="00464DC1" w:rsidP="00464DC1">
      <w:pPr>
        <w:rPr>
          <w:lang w:val="en-US"/>
        </w:rPr>
      </w:pPr>
      <w:r w:rsidRPr="00464DC1">
        <w:rPr>
          <w:lang w:val="en-US"/>
        </w:rPr>
        <w:t>procurement practices to strengthen, and not undermine, suppliers' ability to deliver on the requirements we set to ensure good conditions for people, society and the environment. Long-term supplier relationships, with suppliers that demonstrate a particular willingness and ability to work for positive developments in the supply chain, shall be facilitated.</w:t>
      </w:r>
    </w:p>
    <w:p w14:paraId="2B1BCA40" w14:textId="77777777" w:rsidR="00464DC1" w:rsidRPr="00464DC1" w:rsidRDefault="00464DC1" w:rsidP="00464DC1">
      <w:pPr>
        <w:rPr>
          <w:lang w:val="en-US"/>
        </w:rPr>
      </w:pPr>
      <w:r w:rsidRPr="00464DC1">
        <w:rPr>
          <w:lang w:val="en-US"/>
        </w:rPr>
        <w:t>Any cooperation between NPA and an external partner must comply with our overarching principles and statutes, and not undermine, or be detrimental to, NPA's core values, goals or projects. Expectations of compliance with the ethical standards shall be referred to in all contracts with external partners.</w:t>
      </w:r>
    </w:p>
    <w:p w14:paraId="642AC201" w14:textId="77777777" w:rsidR="00464DC1" w:rsidRPr="00464DC1" w:rsidRDefault="00464DC1" w:rsidP="00464DC1">
      <w:pPr>
        <w:rPr>
          <w:lang w:val="en-US"/>
        </w:rPr>
      </w:pPr>
      <w:r w:rsidRPr="00464DC1">
        <w:rPr>
          <w:lang w:val="en-US"/>
        </w:rPr>
        <w:t xml:space="preserve">In the event of a breach of the ethical standards, NPA reserves the right to publicly </w:t>
      </w:r>
      <w:proofErr w:type="spellStart"/>
      <w:r w:rsidRPr="00464DC1">
        <w:rPr>
          <w:lang w:val="en-US"/>
        </w:rPr>
        <w:t>criticise</w:t>
      </w:r>
      <w:proofErr w:type="spellEnd"/>
      <w:r w:rsidRPr="00464DC1">
        <w:rPr>
          <w:lang w:val="en-US"/>
        </w:rPr>
        <w:t xml:space="preserve"> partners. Furthermore, NPA cannot be held responsible for, or used to </w:t>
      </w:r>
      <w:proofErr w:type="spellStart"/>
      <w:r w:rsidRPr="00464DC1">
        <w:rPr>
          <w:lang w:val="en-US"/>
        </w:rPr>
        <w:t>legitimise</w:t>
      </w:r>
      <w:proofErr w:type="spellEnd"/>
      <w:r w:rsidRPr="00464DC1">
        <w:rPr>
          <w:lang w:val="en-US"/>
        </w:rPr>
        <w:t>, decisions made by partners on a commercial or political basis.</w:t>
      </w:r>
    </w:p>
    <w:p w14:paraId="57618883" w14:textId="77777777" w:rsidR="00464DC1" w:rsidRPr="00464DC1" w:rsidRDefault="00464DC1" w:rsidP="00464DC1">
      <w:pPr>
        <w:rPr>
          <w:lang w:val="en-US"/>
        </w:rPr>
      </w:pPr>
      <w:r w:rsidRPr="00464DC1">
        <w:rPr>
          <w:lang w:val="en-US"/>
        </w:rPr>
        <w:lastRenderedPageBreak/>
        <w:t>NPA will at all times take into consideration the exclusion lists of fund managers who are leaders in ethics and sustainability, as well as the company databases of organizations and institutions that monitor business, human rights and international law. NPA shall give priority to companies that are not included in these lists and company databases in their procurement, investment or fundraising activity. The same applies to companies that are subject to global campaigns, in which NPA participates, or companies that NPA, independently or as a result of assessments made by our partner organizations, believes to be contributing to violations of human rights or international law.</w:t>
      </w:r>
    </w:p>
    <w:p w14:paraId="53BEF5DC" w14:textId="77777777" w:rsidR="00464DC1" w:rsidRPr="00464DC1" w:rsidRDefault="00464DC1" w:rsidP="00464DC1">
      <w:pPr>
        <w:rPr>
          <w:lang w:val="en-US"/>
        </w:rPr>
      </w:pPr>
      <w:r w:rsidRPr="00464DC1">
        <w:rPr>
          <w:lang w:val="en-US"/>
        </w:rPr>
        <w:t>NPA shall give priority to companies that have collective agreements, and shall not use companies that do not respect the right of workers to organize and negotiate.</w:t>
      </w:r>
    </w:p>
    <w:p w14:paraId="5FEAE4D1" w14:textId="77777777" w:rsidR="00464DC1" w:rsidRPr="00464DC1" w:rsidRDefault="00464DC1" w:rsidP="00464DC1">
      <w:pPr>
        <w:rPr>
          <w:lang w:val="en-US"/>
        </w:rPr>
      </w:pPr>
      <w:r w:rsidRPr="00464DC1">
        <w:rPr>
          <w:lang w:val="en-US"/>
        </w:rPr>
        <w:t>Supplier means the contractual partner responsible for the product, process or service provided to NPA.</w:t>
      </w:r>
    </w:p>
    <w:p w14:paraId="51591558" w14:textId="77777777" w:rsidR="00464DC1" w:rsidRPr="00464DC1" w:rsidRDefault="00464DC1" w:rsidP="00464DC1">
      <w:pPr>
        <w:rPr>
          <w:lang w:val="en-US"/>
        </w:rPr>
      </w:pPr>
      <w:r w:rsidRPr="00464DC1">
        <w:rPr>
          <w:lang w:val="en-US"/>
        </w:rPr>
        <w:t>Subcontractor means the business unit in the supply chain that directly or indirectly supplies the supplier with goods or services.</w:t>
      </w:r>
    </w:p>
    <w:p w14:paraId="6194AEA1" w14:textId="77777777" w:rsidR="00464DC1" w:rsidRPr="00464DC1" w:rsidRDefault="00464DC1" w:rsidP="00464DC1">
      <w:pPr>
        <w:rPr>
          <w:lang w:val="en-US"/>
        </w:rPr>
      </w:pPr>
      <w:r w:rsidRPr="00464DC1">
        <w:rPr>
          <w:lang w:val="en-US"/>
        </w:rPr>
        <w:t>II - Principles</w:t>
      </w:r>
    </w:p>
    <w:p w14:paraId="1FFC3247" w14:textId="77777777" w:rsidR="00464DC1" w:rsidRPr="00464DC1" w:rsidRDefault="00464DC1" w:rsidP="00464DC1">
      <w:pPr>
        <w:rPr>
          <w:lang w:val="en-US"/>
        </w:rPr>
      </w:pPr>
      <w:r w:rsidRPr="00464DC1">
        <w:rPr>
          <w:lang w:val="en-US"/>
        </w:rPr>
        <w:t>NPA's suppliers and business partners shall deliver goods and services that are produced in accordance with our ethical standards. Enterprises shall carry out due diligence in accordance with the OECD Guidelines for Multinational Enterprises. This includes the following:</w:t>
      </w:r>
    </w:p>
    <w:p w14:paraId="292194D4" w14:textId="77777777" w:rsidR="00464DC1" w:rsidRPr="00464DC1" w:rsidRDefault="00464DC1" w:rsidP="00464DC1">
      <w:pPr>
        <w:rPr>
          <w:lang w:val="en-US"/>
        </w:rPr>
      </w:pPr>
      <w:r w:rsidRPr="00464DC1">
        <w:rPr>
          <w:lang w:val="en-US"/>
        </w:rPr>
        <w:t>A) Embedding accountability in company policies;</w:t>
      </w:r>
    </w:p>
    <w:p w14:paraId="085743FD" w14:textId="77777777" w:rsidR="00464DC1" w:rsidRPr="00464DC1" w:rsidRDefault="00464DC1" w:rsidP="00464DC1">
      <w:pPr>
        <w:rPr>
          <w:lang w:val="en-US"/>
        </w:rPr>
      </w:pPr>
      <w:r w:rsidRPr="00464DC1">
        <w:rPr>
          <w:lang w:val="en-US"/>
        </w:rPr>
        <w:t>B) Mapping and assessing actual and potential negative impacts on fundamental human rights and decent working conditions that the business has either caused or contributed to, or that are directly linked to the enterprise's business activities, products or services through supply chains or business partners;</w:t>
      </w:r>
    </w:p>
    <w:p w14:paraId="16D7F284" w14:textId="77777777" w:rsidR="00464DC1" w:rsidRPr="00464DC1" w:rsidRDefault="00464DC1" w:rsidP="00464DC1">
      <w:pPr>
        <w:rPr>
          <w:lang w:val="en-US"/>
        </w:rPr>
      </w:pPr>
      <w:r w:rsidRPr="00464DC1">
        <w:rPr>
          <w:lang w:val="en-US"/>
        </w:rPr>
        <w:t>C) Implementing appropriate measures to cease, prevent or limit negative impacts, based on the enterprise's priorities and assessments pursuant to subparagraph (b);</w:t>
      </w:r>
    </w:p>
    <w:p w14:paraId="757F6EDE" w14:textId="77777777" w:rsidR="00464DC1" w:rsidRPr="00464DC1" w:rsidRDefault="00464DC1" w:rsidP="00464DC1">
      <w:pPr>
        <w:rPr>
          <w:lang w:val="en-US"/>
        </w:rPr>
      </w:pPr>
      <w:r w:rsidRPr="00464DC1">
        <w:rPr>
          <w:lang w:val="en-US"/>
        </w:rPr>
        <w:t>D) Monitoring the implementation and results of measures pursuant to subparagraph (c);</w:t>
      </w:r>
    </w:p>
    <w:p w14:paraId="34CD2E57" w14:textId="77777777" w:rsidR="00464DC1" w:rsidRPr="00464DC1" w:rsidRDefault="00464DC1" w:rsidP="00464DC1">
      <w:pPr>
        <w:rPr>
          <w:lang w:val="en-US"/>
        </w:rPr>
      </w:pPr>
      <w:r w:rsidRPr="00464DC1">
        <w:rPr>
          <w:lang w:val="en-US"/>
        </w:rPr>
        <w:t>E) Communicating with affected stakeholders and rights holders about how negative impacts have been dealt with pursuant to subparagraphs (c) and (d);</w:t>
      </w:r>
    </w:p>
    <w:p w14:paraId="3E778477" w14:textId="77777777" w:rsidR="00464DC1" w:rsidRPr="00464DC1" w:rsidRDefault="00464DC1" w:rsidP="00464DC1">
      <w:pPr>
        <w:rPr>
          <w:lang w:val="en-US"/>
        </w:rPr>
      </w:pPr>
      <w:r w:rsidRPr="00464DC1">
        <w:rPr>
          <w:lang w:val="en-US"/>
        </w:rPr>
        <w:t>F) Providing or facilitating remedy where required.</w:t>
      </w:r>
    </w:p>
    <w:p w14:paraId="0A21A04D" w14:textId="77777777" w:rsidR="00464DC1" w:rsidRPr="00464DC1" w:rsidRDefault="00464DC1" w:rsidP="00464DC1">
      <w:pPr>
        <w:rPr>
          <w:lang w:val="en-US"/>
        </w:rPr>
      </w:pPr>
      <w:r w:rsidRPr="00464DC1">
        <w:rPr>
          <w:lang w:val="en-US"/>
        </w:rPr>
        <w:t>Due diligence shall be carried out regularly and in proportion to the size of the enterprise, the nature of the enterprise, the context in which the activity takes place, and the severity and likelihood of negative impacts on fundamental human rights, decent working conditions and the environment.</w:t>
      </w:r>
    </w:p>
    <w:p w14:paraId="470F5FFF" w14:textId="77777777" w:rsidR="00464DC1" w:rsidRPr="00464DC1" w:rsidRDefault="00464DC1" w:rsidP="00464DC1">
      <w:pPr>
        <w:rPr>
          <w:lang w:val="en-US"/>
        </w:rPr>
      </w:pPr>
      <w:r w:rsidRPr="00464DC1">
        <w:rPr>
          <w:lang w:val="en-US"/>
        </w:rPr>
        <w:t>Boycott of individual countries</w:t>
      </w:r>
    </w:p>
    <w:p w14:paraId="33E2920E" w14:textId="77777777" w:rsidR="00464DC1" w:rsidRPr="00464DC1" w:rsidRDefault="00464DC1" w:rsidP="00464DC1">
      <w:pPr>
        <w:rPr>
          <w:lang w:val="en-US"/>
        </w:rPr>
      </w:pPr>
      <w:r w:rsidRPr="00464DC1">
        <w:rPr>
          <w:lang w:val="en-US"/>
        </w:rPr>
        <w:lastRenderedPageBreak/>
        <w:t>NPA will follow up all international sanctions that are part of Norwegian law or that are expected from our donors. NPA will also avoid procuring goods and services from countries where there is broad international agreement to boycott trade because of the country's human rights situation.</w:t>
      </w:r>
    </w:p>
    <w:p w14:paraId="1609E374" w14:textId="77777777" w:rsidR="00464DC1" w:rsidRPr="00464DC1" w:rsidRDefault="00464DC1" w:rsidP="00464DC1">
      <w:pPr>
        <w:rPr>
          <w:lang w:val="en-US"/>
        </w:rPr>
      </w:pPr>
      <w:r w:rsidRPr="00464DC1">
        <w:rPr>
          <w:lang w:val="en-US"/>
        </w:rPr>
        <w:t>Corruption and bribes NPA does not accept the use of bribery in any form to provide unfair benefits to customers, agents, contractors, suppliers, employees or government officials. Reference is made to NPA's guidelines for anti-corruption and whistleblowing routines available on our website www.npaid.org.</w:t>
      </w:r>
    </w:p>
    <w:p w14:paraId="14678DBE" w14:textId="77777777" w:rsidR="00464DC1" w:rsidRPr="00464DC1" w:rsidRDefault="00464DC1" w:rsidP="00464DC1">
      <w:pPr>
        <w:rPr>
          <w:lang w:val="en-US"/>
        </w:rPr>
      </w:pPr>
      <w:r w:rsidRPr="00464DC1">
        <w:rPr>
          <w:lang w:val="en-US"/>
        </w:rPr>
        <w:t>III - Ethical Standards</w:t>
      </w:r>
    </w:p>
    <w:p w14:paraId="63B57921" w14:textId="77777777" w:rsidR="00464DC1" w:rsidRPr="00464DC1" w:rsidRDefault="00464DC1" w:rsidP="00464DC1">
      <w:pPr>
        <w:rPr>
          <w:lang w:val="en-US"/>
        </w:rPr>
      </w:pPr>
      <w:r w:rsidRPr="00464DC1">
        <w:rPr>
          <w:lang w:val="en-US"/>
        </w:rPr>
        <w:t>WORKPLACE CONDITIONS</w:t>
      </w:r>
    </w:p>
    <w:p w14:paraId="43F4CF4A" w14:textId="77777777" w:rsidR="00464DC1" w:rsidRPr="00464DC1" w:rsidRDefault="00464DC1" w:rsidP="00464DC1">
      <w:pPr>
        <w:rPr>
          <w:lang w:val="en-US"/>
        </w:rPr>
      </w:pPr>
      <w:r w:rsidRPr="00464DC1">
        <w:rPr>
          <w:lang w:val="en-US"/>
        </w:rPr>
        <w:t xml:space="preserve">1. Forced </w:t>
      </w:r>
      <w:proofErr w:type="spellStart"/>
      <w:r w:rsidRPr="00464DC1">
        <w:rPr>
          <w:lang w:val="en-US"/>
        </w:rPr>
        <w:t>labour</w:t>
      </w:r>
      <w:proofErr w:type="spellEnd"/>
      <w:r w:rsidRPr="00464DC1">
        <w:rPr>
          <w:lang w:val="en-US"/>
        </w:rPr>
        <w:t xml:space="preserve">/slave </w:t>
      </w:r>
      <w:proofErr w:type="spellStart"/>
      <w:r w:rsidRPr="00464DC1">
        <w:rPr>
          <w:lang w:val="en-US"/>
        </w:rPr>
        <w:t>labour</w:t>
      </w:r>
      <w:proofErr w:type="spellEnd"/>
      <w:r w:rsidRPr="00464DC1">
        <w:rPr>
          <w:lang w:val="en-US"/>
        </w:rPr>
        <w:t xml:space="preserve"> (ILO Conventions 29 and 105)</w:t>
      </w:r>
    </w:p>
    <w:p w14:paraId="21C11DBB" w14:textId="77777777" w:rsidR="00464DC1" w:rsidRPr="00464DC1" w:rsidRDefault="00464DC1" w:rsidP="00464DC1">
      <w:pPr>
        <w:rPr>
          <w:lang w:val="en-US"/>
        </w:rPr>
      </w:pPr>
      <w:r w:rsidRPr="00464DC1">
        <w:rPr>
          <w:lang w:val="en-US"/>
        </w:rPr>
        <w:t xml:space="preserve">1.1 There shall be no form of forced </w:t>
      </w:r>
      <w:proofErr w:type="spellStart"/>
      <w:r w:rsidRPr="00464DC1">
        <w:rPr>
          <w:lang w:val="en-US"/>
        </w:rPr>
        <w:t>labour</w:t>
      </w:r>
      <w:proofErr w:type="spellEnd"/>
      <w:r w:rsidRPr="00464DC1">
        <w:rPr>
          <w:lang w:val="en-US"/>
        </w:rPr>
        <w:t xml:space="preserve">, slave </w:t>
      </w:r>
      <w:proofErr w:type="spellStart"/>
      <w:r w:rsidRPr="00464DC1">
        <w:rPr>
          <w:lang w:val="en-US"/>
        </w:rPr>
        <w:t>labour</w:t>
      </w:r>
      <w:proofErr w:type="spellEnd"/>
      <w:r w:rsidRPr="00464DC1">
        <w:rPr>
          <w:lang w:val="en-US"/>
        </w:rPr>
        <w:t xml:space="preserve"> or involuntary</w:t>
      </w:r>
    </w:p>
    <w:p w14:paraId="089E4C3B" w14:textId="77777777" w:rsidR="00464DC1" w:rsidRPr="00464DC1" w:rsidRDefault="00464DC1" w:rsidP="00464DC1">
      <w:pPr>
        <w:rPr>
          <w:lang w:val="en-US"/>
        </w:rPr>
      </w:pPr>
      <w:r w:rsidRPr="00464DC1">
        <w:rPr>
          <w:lang w:val="en-US"/>
        </w:rPr>
        <w:t>work.</w:t>
      </w:r>
    </w:p>
    <w:p w14:paraId="3BDF16E0" w14:textId="77777777" w:rsidR="00464DC1" w:rsidRPr="00464DC1" w:rsidRDefault="00464DC1" w:rsidP="00464DC1">
      <w:pPr>
        <w:rPr>
          <w:lang w:val="en-US"/>
        </w:rPr>
      </w:pPr>
      <w:r w:rsidRPr="00464DC1">
        <w:rPr>
          <w:lang w:val="en-US"/>
        </w:rPr>
        <w:t>1.1.1 Workers shall not be required to submit deposits, identity papers or passports to the employer and shall be free to terminate the employment relationship with a reasonable notice period.</w:t>
      </w:r>
    </w:p>
    <w:p w14:paraId="787D65FD" w14:textId="77777777" w:rsidR="00464DC1" w:rsidRPr="00464DC1" w:rsidRDefault="00464DC1" w:rsidP="00464DC1">
      <w:pPr>
        <w:rPr>
          <w:lang w:val="en-US"/>
        </w:rPr>
      </w:pPr>
      <w:r w:rsidRPr="00464DC1">
        <w:rPr>
          <w:lang w:val="en-US"/>
        </w:rPr>
        <w:t>2. Trade unionism and collective bargaining (ILO Conventions Nos. 87, 98 and 135 and 154)</w:t>
      </w:r>
    </w:p>
    <w:p w14:paraId="7DBE9A36" w14:textId="77777777" w:rsidR="00464DC1" w:rsidRPr="00464DC1" w:rsidRDefault="00464DC1" w:rsidP="00464DC1">
      <w:pPr>
        <w:rPr>
          <w:lang w:val="en-US"/>
        </w:rPr>
      </w:pPr>
      <w:r w:rsidRPr="00464DC1">
        <w:rPr>
          <w:lang w:val="en-US"/>
        </w:rPr>
        <w:t>2.1 Without exception, workers shall have the right to join or establish</w:t>
      </w:r>
    </w:p>
    <w:p w14:paraId="142EFAD6" w14:textId="77777777" w:rsidR="00464DC1" w:rsidRPr="00464DC1" w:rsidRDefault="00464DC1" w:rsidP="00464DC1">
      <w:pPr>
        <w:rPr>
          <w:lang w:val="en-US"/>
        </w:rPr>
      </w:pPr>
      <w:r w:rsidRPr="00464DC1">
        <w:rPr>
          <w:lang w:val="en-US"/>
        </w:rPr>
        <w:t>unions of their choice, and to bargain collectively. The employer shall not interfere with, obstruct or oppose the establishing of local trade unions or collective bargaining.</w:t>
      </w:r>
    </w:p>
    <w:p w14:paraId="6959A8E6" w14:textId="77777777" w:rsidR="00464DC1" w:rsidRPr="00464DC1" w:rsidRDefault="00464DC1" w:rsidP="00464DC1">
      <w:pPr>
        <w:rPr>
          <w:lang w:val="en-US"/>
        </w:rPr>
      </w:pPr>
      <w:r w:rsidRPr="00464DC1">
        <w:rPr>
          <w:lang w:val="en-US"/>
        </w:rPr>
        <w:t>2.2 The employer shall not discriminate against trade union representatives, or prevent them from carrying out their union work.</w:t>
      </w:r>
    </w:p>
    <w:p w14:paraId="2FB1727F" w14:textId="77777777" w:rsidR="00464DC1" w:rsidRPr="00464DC1" w:rsidRDefault="00464DC1" w:rsidP="00464DC1">
      <w:pPr>
        <w:rPr>
          <w:lang w:val="en-US"/>
        </w:rPr>
      </w:pPr>
      <w:r w:rsidRPr="00464DC1">
        <w:rPr>
          <w:lang w:val="en-US"/>
        </w:rPr>
        <w:t xml:space="preserve">2.3 If the right to free </w:t>
      </w:r>
      <w:proofErr w:type="spellStart"/>
      <w:r w:rsidRPr="00464DC1">
        <w:rPr>
          <w:lang w:val="en-US"/>
        </w:rPr>
        <w:t>organisation</w:t>
      </w:r>
      <w:proofErr w:type="spellEnd"/>
      <w:r w:rsidRPr="00464DC1">
        <w:rPr>
          <w:lang w:val="en-US"/>
        </w:rPr>
        <w:t xml:space="preserve"> and/or collective bargaining is limited by law, the employer shall facilitate and not impede alternative mechanisms for free and independent organization and negotiation.</w:t>
      </w:r>
    </w:p>
    <w:p w14:paraId="45823E0A" w14:textId="77777777" w:rsidR="00464DC1" w:rsidRPr="00464DC1" w:rsidRDefault="00464DC1" w:rsidP="00464DC1">
      <w:pPr>
        <w:rPr>
          <w:lang w:val="en-US"/>
        </w:rPr>
      </w:pPr>
      <w:r w:rsidRPr="00464DC1">
        <w:rPr>
          <w:lang w:val="en-US"/>
        </w:rPr>
        <w:t xml:space="preserve">3. Child </w:t>
      </w:r>
      <w:proofErr w:type="spellStart"/>
      <w:r w:rsidRPr="00464DC1">
        <w:rPr>
          <w:lang w:val="en-US"/>
        </w:rPr>
        <w:t>labour</w:t>
      </w:r>
      <w:proofErr w:type="spellEnd"/>
      <w:r w:rsidRPr="00464DC1">
        <w:rPr>
          <w:lang w:val="en-US"/>
        </w:rPr>
        <w:t xml:space="preserve"> (UN Convention on the Rights of the Child, ILO Conventions Nos. 138, 182 and 79, ILO Recommendation No. 146)</w:t>
      </w:r>
    </w:p>
    <w:p w14:paraId="3092DF8C" w14:textId="77777777" w:rsidR="00464DC1" w:rsidRPr="00464DC1" w:rsidRDefault="00464DC1" w:rsidP="00464DC1">
      <w:pPr>
        <w:rPr>
          <w:lang w:val="en-US"/>
        </w:rPr>
      </w:pPr>
      <w:r w:rsidRPr="00464DC1">
        <w:rPr>
          <w:lang w:val="en-US"/>
        </w:rPr>
        <w:t>3.1. The minimum age of workers shall not be less than 15 years and in line with</w:t>
      </w:r>
    </w:p>
    <w:p w14:paraId="0D96D681" w14:textId="77777777" w:rsidR="00464DC1" w:rsidRPr="00464DC1" w:rsidRDefault="00464DC1" w:rsidP="00464DC1">
      <w:pPr>
        <w:rPr>
          <w:lang w:val="en-US"/>
        </w:rPr>
      </w:pPr>
      <w:r w:rsidRPr="00464DC1">
        <w:rPr>
          <w:lang w:val="en-US"/>
        </w:rPr>
        <w:t>(</w:t>
      </w:r>
      <w:proofErr w:type="spellStart"/>
      <w:r w:rsidRPr="00464DC1">
        <w:rPr>
          <w:lang w:val="en-US"/>
        </w:rPr>
        <w:t>i</w:t>
      </w:r>
      <w:proofErr w:type="spellEnd"/>
      <w:r w:rsidRPr="00464DC1">
        <w:rPr>
          <w:lang w:val="en-US"/>
        </w:rPr>
        <w:t>) the national minimum age for employment, or</w:t>
      </w:r>
    </w:p>
    <w:p w14:paraId="6EAFC1C4" w14:textId="77777777" w:rsidR="00464DC1" w:rsidRPr="00464DC1" w:rsidRDefault="00464DC1" w:rsidP="00464DC1">
      <w:pPr>
        <w:rPr>
          <w:lang w:val="en-US"/>
        </w:rPr>
      </w:pPr>
      <w:r w:rsidRPr="00464DC1">
        <w:rPr>
          <w:lang w:val="en-US"/>
        </w:rPr>
        <w:t>(ii) the minimum age for compulsory schooling, with the highest age as applicable. If the local minimum age is set at 14 years in accordance with the exception in ILO Convention 138, this may be accepted.</w:t>
      </w:r>
    </w:p>
    <w:p w14:paraId="67A9712A" w14:textId="77777777" w:rsidR="00464DC1" w:rsidRPr="00464DC1" w:rsidRDefault="00464DC1" w:rsidP="00464DC1">
      <w:pPr>
        <w:rPr>
          <w:lang w:val="en-US"/>
        </w:rPr>
      </w:pPr>
      <w:r w:rsidRPr="00464DC1">
        <w:rPr>
          <w:lang w:val="en-US"/>
        </w:rPr>
        <w:lastRenderedPageBreak/>
        <w:t xml:space="preserve">3.2 New recruitment of child </w:t>
      </w:r>
      <w:proofErr w:type="spellStart"/>
      <w:r w:rsidRPr="00464DC1">
        <w:rPr>
          <w:lang w:val="en-US"/>
        </w:rPr>
        <w:t>labourers</w:t>
      </w:r>
      <w:proofErr w:type="spellEnd"/>
      <w:r w:rsidRPr="00464DC1">
        <w:rPr>
          <w:lang w:val="en-US"/>
        </w:rPr>
        <w:t xml:space="preserve"> in contravention of the aforementioned minimum age shall not take place.</w:t>
      </w:r>
    </w:p>
    <w:p w14:paraId="6A6746ED" w14:textId="77777777" w:rsidR="00464DC1" w:rsidRPr="00464DC1" w:rsidRDefault="00464DC1" w:rsidP="00464DC1">
      <w:pPr>
        <w:rPr>
          <w:lang w:val="en-US"/>
        </w:rPr>
      </w:pPr>
      <w:r w:rsidRPr="00464DC1">
        <w:rPr>
          <w:lang w:val="en-US"/>
        </w:rPr>
        <w:t>3.3. Children under the age of 18 shall not perform work that is detrimental to their health, safety or morals, including night work.</w:t>
      </w:r>
    </w:p>
    <w:p w14:paraId="1718D6CE" w14:textId="77777777" w:rsidR="00464DC1" w:rsidRPr="00464DC1" w:rsidRDefault="00464DC1" w:rsidP="00464DC1">
      <w:pPr>
        <w:rPr>
          <w:lang w:val="en-US"/>
        </w:rPr>
      </w:pPr>
      <w:r w:rsidRPr="00464DC1">
        <w:rPr>
          <w:lang w:val="en-US"/>
        </w:rPr>
        <w:t xml:space="preserve">3.4. Action plans shall be established for the speedy phasing out of child </w:t>
      </w:r>
      <w:proofErr w:type="spellStart"/>
      <w:r w:rsidRPr="00464DC1">
        <w:rPr>
          <w:lang w:val="en-US"/>
        </w:rPr>
        <w:t>labour</w:t>
      </w:r>
      <w:proofErr w:type="spellEnd"/>
      <w:r w:rsidRPr="00464DC1">
        <w:rPr>
          <w:lang w:val="en-US"/>
        </w:rPr>
        <w:t xml:space="preserve"> that is in contravention of ILO Conventions 138 and 182. The action plans shall be documented and communicated to relevant staff and other stakeholders. Support schemes shall be facilitated where children are given the opportunity to study until the child is no longer of school age.</w:t>
      </w:r>
    </w:p>
    <w:p w14:paraId="2EF5551C" w14:textId="77777777" w:rsidR="00464DC1" w:rsidRPr="00464DC1" w:rsidRDefault="00464DC1" w:rsidP="00464DC1">
      <w:pPr>
        <w:rPr>
          <w:lang w:val="en-US"/>
        </w:rPr>
      </w:pPr>
      <w:r w:rsidRPr="00464DC1">
        <w:rPr>
          <w:lang w:val="en-US"/>
        </w:rPr>
        <w:t>4. Discrimination (ILO Conventions Nos. 100 and 111 and UN Convention on the Elimination of All Forms of Discrimination against Women)</w:t>
      </w:r>
    </w:p>
    <w:p w14:paraId="14CED676" w14:textId="77777777" w:rsidR="00464DC1" w:rsidRPr="00464DC1" w:rsidRDefault="00464DC1" w:rsidP="00464DC1">
      <w:pPr>
        <w:rPr>
          <w:lang w:val="en-US"/>
        </w:rPr>
      </w:pPr>
      <w:r w:rsidRPr="00464DC1">
        <w:rPr>
          <w:lang w:val="en-US"/>
        </w:rPr>
        <w:t>4.1 There shall be no discrimination in terms of employment, remuneration,</w:t>
      </w:r>
    </w:p>
    <w:p w14:paraId="5E0624B0" w14:textId="77777777" w:rsidR="00464DC1" w:rsidRPr="00464DC1" w:rsidRDefault="00464DC1" w:rsidP="00464DC1">
      <w:pPr>
        <w:rPr>
          <w:lang w:val="en-US"/>
        </w:rPr>
      </w:pPr>
      <w:r w:rsidRPr="00464DC1">
        <w:rPr>
          <w:lang w:val="en-US"/>
        </w:rPr>
        <w:t>training, promotion, dismissal or retirement based on ethnicity, caste, religion, age, disability, gender, marital status, sexual orientation, trade unionism or political affiliation.</w:t>
      </w:r>
    </w:p>
    <w:p w14:paraId="2CBA5A24" w14:textId="77777777" w:rsidR="00464DC1" w:rsidRPr="00464DC1" w:rsidRDefault="00464DC1" w:rsidP="00464DC1">
      <w:pPr>
        <w:rPr>
          <w:lang w:val="en-US"/>
        </w:rPr>
      </w:pPr>
      <w:r w:rsidRPr="00464DC1">
        <w:rPr>
          <w:lang w:val="en-US"/>
        </w:rPr>
        <w:t xml:space="preserve">4.2.1 Protection shall be established against sexually intrusive, threatening, abusive or exploitative </w:t>
      </w:r>
      <w:proofErr w:type="spellStart"/>
      <w:r w:rsidRPr="00464DC1">
        <w:rPr>
          <w:lang w:val="en-US"/>
        </w:rPr>
        <w:t>behaviour</w:t>
      </w:r>
      <w:proofErr w:type="spellEnd"/>
      <w:r w:rsidRPr="00464DC1">
        <w:rPr>
          <w:lang w:val="en-US"/>
        </w:rPr>
        <w:t>, as well as against discrimination or dismissal on unfair grounds, e.g. marriage, pregnancy, parenthood or HIV status.</w:t>
      </w:r>
    </w:p>
    <w:p w14:paraId="0420E7A1" w14:textId="77777777" w:rsidR="00464DC1" w:rsidRPr="00464DC1" w:rsidRDefault="00464DC1" w:rsidP="00464DC1">
      <w:pPr>
        <w:rPr>
          <w:lang w:val="en-US"/>
        </w:rPr>
      </w:pPr>
      <w:r w:rsidRPr="00464DC1">
        <w:rPr>
          <w:lang w:val="en-US"/>
        </w:rPr>
        <w:t>5. Brutal treatment</w:t>
      </w:r>
    </w:p>
    <w:p w14:paraId="7D62C913" w14:textId="77777777" w:rsidR="00464DC1" w:rsidRPr="00464DC1" w:rsidRDefault="00464DC1" w:rsidP="00464DC1">
      <w:pPr>
        <w:rPr>
          <w:lang w:val="en-US"/>
        </w:rPr>
      </w:pPr>
      <w:r w:rsidRPr="00464DC1">
        <w:rPr>
          <w:lang w:val="en-US"/>
        </w:rPr>
        <w:t>5.1 Physical abuse or punishment, or threat of physical abuse, shall be prohibited. The same applies to sexual or other abuse and other forms of humiliation.</w:t>
      </w:r>
    </w:p>
    <w:p w14:paraId="51C8E9F1" w14:textId="77777777" w:rsidR="00464DC1" w:rsidRPr="00464DC1" w:rsidRDefault="00464DC1" w:rsidP="00464DC1">
      <w:pPr>
        <w:rPr>
          <w:lang w:val="en-US"/>
        </w:rPr>
      </w:pPr>
      <w:r w:rsidRPr="00464DC1">
        <w:rPr>
          <w:lang w:val="en-US"/>
        </w:rPr>
        <w:t>6. Health, safety and environment (ILO Convention No. 155 and Recommendation No. 164)</w:t>
      </w:r>
    </w:p>
    <w:p w14:paraId="23C3AF20" w14:textId="77777777" w:rsidR="00464DC1" w:rsidRPr="00464DC1" w:rsidRDefault="00464DC1" w:rsidP="00464DC1">
      <w:pPr>
        <w:rPr>
          <w:lang w:val="en-US"/>
        </w:rPr>
      </w:pPr>
      <w:r w:rsidRPr="00464DC1">
        <w:rPr>
          <w:lang w:val="en-US"/>
        </w:rPr>
        <w:t>6.1 Efforts shall be made to ensure workers a safe and healthy working environment.</w:t>
      </w:r>
    </w:p>
    <w:p w14:paraId="252219AC" w14:textId="77777777" w:rsidR="00464DC1" w:rsidRPr="00464DC1" w:rsidRDefault="00464DC1" w:rsidP="00464DC1">
      <w:pPr>
        <w:rPr>
          <w:lang w:val="en-US"/>
        </w:rPr>
      </w:pPr>
      <w:r w:rsidRPr="00464DC1">
        <w:rPr>
          <w:lang w:val="en-US"/>
        </w:rPr>
        <w:t xml:space="preserve">Dangerous chemicals and other substances shall be handled properly. Necessary measures shall be taken to prevent and </w:t>
      </w:r>
      <w:proofErr w:type="spellStart"/>
      <w:r w:rsidRPr="00464DC1">
        <w:rPr>
          <w:lang w:val="en-US"/>
        </w:rPr>
        <w:t>minimise</w:t>
      </w:r>
      <w:proofErr w:type="spellEnd"/>
      <w:r w:rsidRPr="00464DC1">
        <w:rPr>
          <w:lang w:val="en-US"/>
        </w:rPr>
        <w:t xml:space="preserve"> accidents and damage to health as a result of, or related to, conditions in the workplace.</w:t>
      </w:r>
    </w:p>
    <w:p w14:paraId="283F940F" w14:textId="77777777" w:rsidR="00464DC1" w:rsidRPr="00464DC1" w:rsidRDefault="00464DC1" w:rsidP="00464DC1">
      <w:pPr>
        <w:rPr>
          <w:lang w:val="en-US"/>
        </w:rPr>
      </w:pPr>
      <w:r w:rsidRPr="00464DC1">
        <w:rPr>
          <w:lang w:val="en-US"/>
        </w:rPr>
        <w:t>6.2 Workers shall receive regular and documented training in health and safety</w:t>
      </w:r>
    </w:p>
    <w:p w14:paraId="2A1FBC3F" w14:textId="77777777" w:rsidR="00464DC1" w:rsidRPr="00464DC1" w:rsidRDefault="00464DC1" w:rsidP="00464DC1">
      <w:pPr>
        <w:rPr>
          <w:lang w:val="en-US"/>
        </w:rPr>
      </w:pPr>
      <w:r w:rsidRPr="00464DC1">
        <w:rPr>
          <w:lang w:val="en-US"/>
        </w:rPr>
        <w:t>measures. Health and safety training must be repeated for new employees and relocated workers.</w:t>
      </w:r>
    </w:p>
    <w:p w14:paraId="1E858A97" w14:textId="77777777" w:rsidR="00464DC1" w:rsidRPr="00464DC1" w:rsidRDefault="00464DC1" w:rsidP="00464DC1">
      <w:pPr>
        <w:rPr>
          <w:lang w:val="en-US"/>
        </w:rPr>
      </w:pPr>
      <w:r w:rsidRPr="00464DC1">
        <w:rPr>
          <w:lang w:val="en-US"/>
        </w:rPr>
        <w:t>6.3 Workers shall have access to clean sanitation facilities and clean drinking water. If relevant, the employer shall also provide access to facilities for the safe storage of food.</w:t>
      </w:r>
    </w:p>
    <w:p w14:paraId="04228432" w14:textId="77777777" w:rsidR="00464DC1" w:rsidRPr="00464DC1" w:rsidRDefault="00464DC1" w:rsidP="00464DC1">
      <w:pPr>
        <w:rPr>
          <w:lang w:val="en-US"/>
        </w:rPr>
      </w:pPr>
      <w:r w:rsidRPr="00464DC1">
        <w:rPr>
          <w:lang w:val="en-US"/>
        </w:rPr>
        <w:t>6.4 If the employer provides lodging, this shall be clean, safe and adequately</w:t>
      </w:r>
    </w:p>
    <w:p w14:paraId="3B3634A0" w14:textId="77777777" w:rsidR="00464DC1" w:rsidRPr="00464DC1" w:rsidRDefault="00464DC1" w:rsidP="00464DC1">
      <w:pPr>
        <w:rPr>
          <w:lang w:val="en-US"/>
        </w:rPr>
      </w:pPr>
      <w:r w:rsidRPr="00464DC1">
        <w:rPr>
          <w:lang w:val="en-US"/>
        </w:rPr>
        <w:t>Ventilated, and with access to clean sanitary facilities and clean drinking water.</w:t>
      </w:r>
    </w:p>
    <w:p w14:paraId="298DBC63" w14:textId="77777777" w:rsidR="00464DC1" w:rsidRPr="00464DC1" w:rsidRDefault="00464DC1" w:rsidP="00464DC1">
      <w:pPr>
        <w:rPr>
          <w:lang w:val="en-US"/>
        </w:rPr>
      </w:pPr>
      <w:r w:rsidRPr="00464DC1">
        <w:rPr>
          <w:lang w:val="en-US"/>
        </w:rPr>
        <w:lastRenderedPageBreak/>
        <w:t>7. Wages (ILO Convention No. 131)</w:t>
      </w:r>
    </w:p>
    <w:p w14:paraId="3D80E8C6" w14:textId="77777777" w:rsidR="00464DC1" w:rsidRPr="00464DC1" w:rsidRDefault="00464DC1" w:rsidP="00464DC1">
      <w:pPr>
        <w:rPr>
          <w:lang w:val="en-US"/>
        </w:rPr>
      </w:pPr>
      <w:r w:rsidRPr="00464DC1">
        <w:rPr>
          <w:lang w:val="en-US"/>
        </w:rPr>
        <w:t>7.1 Wages of workers for a normal working week shall at least be in line with</w:t>
      </w:r>
    </w:p>
    <w:p w14:paraId="156EC05C" w14:textId="77777777" w:rsidR="00464DC1" w:rsidRPr="00464DC1" w:rsidRDefault="00464DC1" w:rsidP="00464DC1">
      <w:pPr>
        <w:rPr>
          <w:lang w:val="en-US"/>
        </w:rPr>
      </w:pPr>
      <w:r w:rsidRPr="00464DC1">
        <w:rPr>
          <w:lang w:val="en-US"/>
        </w:rPr>
        <w:t>national minimum wage regulations or industry standards, whichever is the highest. Wages shall always be sufficient to cover basic needs, including some savings.</w:t>
      </w:r>
    </w:p>
    <w:p w14:paraId="54D64763" w14:textId="77777777" w:rsidR="00464DC1" w:rsidRPr="00464DC1" w:rsidRDefault="00464DC1" w:rsidP="00464DC1">
      <w:pPr>
        <w:rPr>
          <w:lang w:val="en-US"/>
        </w:rPr>
      </w:pPr>
      <w:r w:rsidRPr="00464DC1">
        <w:rPr>
          <w:lang w:val="en-US"/>
        </w:rPr>
        <w:t>7.2 Salary conditions and payment of wages shall be agreed in writing before work</w:t>
      </w:r>
    </w:p>
    <w:p w14:paraId="3B7D831F" w14:textId="77777777" w:rsidR="00464DC1" w:rsidRPr="00464DC1" w:rsidRDefault="00464DC1" w:rsidP="00464DC1">
      <w:pPr>
        <w:rPr>
          <w:lang w:val="en-US"/>
        </w:rPr>
      </w:pPr>
      <w:r w:rsidRPr="00464DC1">
        <w:rPr>
          <w:lang w:val="en-US"/>
        </w:rPr>
        <w:t>commences. The agreement should be understandable to the worker.</w:t>
      </w:r>
    </w:p>
    <w:p w14:paraId="591C1427" w14:textId="77777777" w:rsidR="00464DC1" w:rsidRPr="00464DC1" w:rsidRDefault="00464DC1" w:rsidP="00464DC1">
      <w:pPr>
        <w:rPr>
          <w:lang w:val="en-US"/>
        </w:rPr>
      </w:pPr>
      <w:r w:rsidRPr="00464DC1">
        <w:rPr>
          <w:lang w:val="en-US"/>
        </w:rPr>
        <w:t>7.3 Deductions from wages as a disciplinary action shall not be allowed.</w:t>
      </w:r>
    </w:p>
    <w:p w14:paraId="253DF87B" w14:textId="77777777" w:rsidR="00464DC1" w:rsidRPr="00464DC1" w:rsidRDefault="00464DC1" w:rsidP="00464DC1">
      <w:pPr>
        <w:rPr>
          <w:lang w:val="en-US"/>
        </w:rPr>
      </w:pPr>
      <w:r w:rsidRPr="00464DC1">
        <w:rPr>
          <w:lang w:val="en-US"/>
        </w:rPr>
        <w:t>8. Working hours (ILO Conventions 1 and 14) 8.1 Working hours shall be in accordance with national laws or industry standards, and not exceed working hours in accordance with applicable international conventions. Normal working hours per week shall usually not exceed 48 hours.</w:t>
      </w:r>
    </w:p>
    <w:p w14:paraId="55725821" w14:textId="77777777" w:rsidR="00464DC1" w:rsidRPr="00464DC1" w:rsidRDefault="00464DC1" w:rsidP="00464DC1">
      <w:pPr>
        <w:rPr>
          <w:lang w:val="en-US"/>
        </w:rPr>
      </w:pPr>
      <w:r w:rsidRPr="00464DC1">
        <w:rPr>
          <w:lang w:val="en-US"/>
        </w:rPr>
        <w:t>8.2 Workers shall have at least one day off in every 7 days.</w:t>
      </w:r>
    </w:p>
    <w:p w14:paraId="1EABD4D7" w14:textId="77777777" w:rsidR="00464DC1" w:rsidRPr="00464DC1" w:rsidRDefault="00464DC1" w:rsidP="00464DC1">
      <w:pPr>
        <w:rPr>
          <w:lang w:val="en-US"/>
        </w:rPr>
      </w:pPr>
      <w:r w:rsidRPr="00464DC1">
        <w:rPr>
          <w:lang w:val="en-US"/>
        </w:rPr>
        <w:t>8.3 Overtime shall be limited and voluntary. The recommended maximum overtime is 12 hours per week, i.e. total working hours of 60 hours per week. Exceptions to this may be accepted if regulated by a collective agreement or national law.</w:t>
      </w:r>
    </w:p>
    <w:p w14:paraId="4110F055" w14:textId="77777777" w:rsidR="00464DC1" w:rsidRPr="00464DC1" w:rsidRDefault="00464DC1" w:rsidP="00464DC1">
      <w:pPr>
        <w:rPr>
          <w:lang w:val="en-US"/>
        </w:rPr>
      </w:pPr>
      <w:r w:rsidRPr="00464DC1">
        <w:rPr>
          <w:lang w:val="en-US"/>
        </w:rPr>
        <w:t>8.4 Workers shall always receive overtime pay for working hours over and above normal working hours (see section 8.1 above), minimum in accordance with applicable laws.</w:t>
      </w:r>
    </w:p>
    <w:p w14:paraId="41E0B782" w14:textId="77777777" w:rsidR="00464DC1" w:rsidRPr="00464DC1" w:rsidRDefault="00464DC1" w:rsidP="00464DC1">
      <w:pPr>
        <w:rPr>
          <w:lang w:val="en-US"/>
        </w:rPr>
      </w:pPr>
      <w:r w:rsidRPr="00464DC1">
        <w:rPr>
          <w:lang w:val="en-US"/>
        </w:rPr>
        <w:t>9. Regular appointments</w:t>
      </w:r>
    </w:p>
    <w:p w14:paraId="64ECCCC4" w14:textId="77777777" w:rsidR="00464DC1" w:rsidRPr="00464DC1" w:rsidRDefault="00464DC1" w:rsidP="00464DC1">
      <w:pPr>
        <w:rPr>
          <w:lang w:val="en-US"/>
        </w:rPr>
      </w:pPr>
      <w:r w:rsidRPr="00464DC1">
        <w:rPr>
          <w:lang w:val="en-US"/>
        </w:rPr>
        <w:t>9.1 Obligations to workers, in line with international conventions,</w:t>
      </w:r>
    </w:p>
    <w:p w14:paraId="6B787389" w14:textId="77777777" w:rsidR="00464DC1" w:rsidRPr="00464DC1" w:rsidRDefault="00464DC1" w:rsidP="00464DC1">
      <w:pPr>
        <w:rPr>
          <w:lang w:val="en-US"/>
        </w:rPr>
      </w:pPr>
      <w:r w:rsidRPr="00464DC1">
        <w:rPr>
          <w:lang w:val="en-US"/>
        </w:rPr>
        <w:t xml:space="preserve">national laws and regulations relating to regular employment shall not be circumvented through the use of short-term contracts (such as the use of contract workers, casual workers and day </w:t>
      </w:r>
      <w:proofErr w:type="spellStart"/>
      <w:r w:rsidRPr="00464DC1">
        <w:rPr>
          <w:lang w:val="en-US"/>
        </w:rPr>
        <w:t>labourers</w:t>
      </w:r>
      <w:proofErr w:type="spellEnd"/>
      <w:r w:rsidRPr="00464DC1">
        <w:rPr>
          <w:lang w:val="en-US"/>
        </w:rPr>
        <w:t xml:space="preserve">), sub-contractors or other </w:t>
      </w:r>
      <w:proofErr w:type="spellStart"/>
      <w:r w:rsidRPr="00464DC1">
        <w:rPr>
          <w:lang w:val="en-US"/>
        </w:rPr>
        <w:t>labour</w:t>
      </w:r>
      <w:proofErr w:type="spellEnd"/>
      <w:r w:rsidRPr="00464DC1">
        <w:rPr>
          <w:lang w:val="en-US"/>
        </w:rPr>
        <w:t xml:space="preserve"> relations.</w:t>
      </w:r>
    </w:p>
    <w:p w14:paraId="06F54409" w14:textId="77777777" w:rsidR="00464DC1" w:rsidRPr="00464DC1" w:rsidRDefault="00464DC1" w:rsidP="00464DC1">
      <w:pPr>
        <w:rPr>
          <w:lang w:val="en-US"/>
        </w:rPr>
      </w:pPr>
      <w:r w:rsidRPr="00464DC1">
        <w:rPr>
          <w:lang w:val="en-US"/>
        </w:rPr>
        <w:t>9.2 All workers are entitled to an employment contract in a language they understand.</w:t>
      </w:r>
    </w:p>
    <w:p w14:paraId="0A3FCB17" w14:textId="77777777" w:rsidR="00464DC1" w:rsidRPr="00464DC1" w:rsidRDefault="00464DC1" w:rsidP="00464DC1">
      <w:pPr>
        <w:rPr>
          <w:lang w:val="en-US"/>
        </w:rPr>
      </w:pPr>
      <w:r w:rsidRPr="00464DC1">
        <w:rPr>
          <w:lang w:val="en-US"/>
        </w:rPr>
        <w:t xml:space="preserve">9.3 Any apprenticeship </w:t>
      </w:r>
      <w:proofErr w:type="spellStart"/>
      <w:r w:rsidRPr="00464DC1">
        <w:rPr>
          <w:lang w:val="en-US"/>
        </w:rPr>
        <w:t>programme</w:t>
      </w:r>
      <w:proofErr w:type="spellEnd"/>
      <w:r w:rsidRPr="00464DC1">
        <w:rPr>
          <w:lang w:val="en-US"/>
        </w:rPr>
        <w:t xml:space="preserve"> shall be clearly defined in terms of duration and content.</w:t>
      </w:r>
    </w:p>
    <w:p w14:paraId="4C5EDF36" w14:textId="77777777" w:rsidR="00464DC1" w:rsidRPr="00464DC1" w:rsidRDefault="00464DC1" w:rsidP="00464DC1">
      <w:pPr>
        <w:rPr>
          <w:lang w:val="en-US"/>
        </w:rPr>
      </w:pPr>
      <w:r w:rsidRPr="00464DC1">
        <w:rPr>
          <w:lang w:val="en-US"/>
        </w:rPr>
        <w:t>CONDITIONS OUTSIDE THE WORKPLACE</w:t>
      </w:r>
    </w:p>
    <w:p w14:paraId="6EA5FABF" w14:textId="77777777" w:rsidR="00464DC1" w:rsidRPr="00464DC1" w:rsidRDefault="00464DC1" w:rsidP="00464DC1">
      <w:pPr>
        <w:rPr>
          <w:lang w:val="en-US"/>
        </w:rPr>
      </w:pPr>
      <w:r w:rsidRPr="00464DC1">
        <w:rPr>
          <w:lang w:val="en-US"/>
        </w:rPr>
        <w:t xml:space="preserve">10. </w:t>
      </w:r>
      <w:proofErr w:type="spellStart"/>
      <w:r w:rsidRPr="00464DC1">
        <w:rPr>
          <w:lang w:val="en-US"/>
        </w:rPr>
        <w:t>Marginalised</w:t>
      </w:r>
      <w:proofErr w:type="spellEnd"/>
      <w:r w:rsidRPr="00464DC1">
        <w:rPr>
          <w:lang w:val="en-US"/>
        </w:rPr>
        <w:t xml:space="preserve"> populations</w:t>
      </w:r>
    </w:p>
    <w:p w14:paraId="7091734F" w14:textId="77777777" w:rsidR="00464DC1" w:rsidRPr="00464DC1" w:rsidRDefault="00464DC1" w:rsidP="00464DC1">
      <w:pPr>
        <w:rPr>
          <w:lang w:val="en-US"/>
        </w:rPr>
      </w:pPr>
      <w:r w:rsidRPr="00464DC1">
        <w:rPr>
          <w:lang w:val="en-US"/>
        </w:rPr>
        <w:t xml:space="preserve">10.1 Production and use of natural resources shall not contribute to the destruction of resources and income base for </w:t>
      </w:r>
      <w:proofErr w:type="spellStart"/>
      <w:r w:rsidRPr="00464DC1">
        <w:rPr>
          <w:lang w:val="en-US"/>
        </w:rPr>
        <w:t>marginalised</w:t>
      </w:r>
      <w:proofErr w:type="spellEnd"/>
      <w:r w:rsidRPr="00464DC1">
        <w:rPr>
          <w:lang w:val="en-US"/>
        </w:rPr>
        <w:t xml:space="preserve"> population groups, for example, by seizing large areas of land, irresponsible use of water or other natural resources on which the population groups depend.</w:t>
      </w:r>
    </w:p>
    <w:p w14:paraId="17019CB5" w14:textId="77777777" w:rsidR="00464DC1" w:rsidRPr="00464DC1" w:rsidRDefault="00464DC1" w:rsidP="00464DC1">
      <w:pPr>
        <w:rPr>
          <w:lang w:val="en-US"/>
        </w:rPr>
      </w:pPr>
      <w:r w:rsidRPr="00464DC1">
        <w:rPr>
          <w:lang w:val="en-US"/>
        </w:rPr>
        <w:lastRenderedPageBreak/>
        <w:t>10.2 Every business partner, subcontractor or its subsidiaries shall, in their own production, activity, investment or commercial projects, respect the principle of free, prior and informed consent (FPIC) which states that an indigenous community has the right to give or withhold its consent to proposed projects that may affect the land it normally holds, occupies or otherwise uses.</w:t>
      </w:r>
    </w:p>
    <w:p w14:paraId="33E57ABC" w14:textId="77777777" w:rsidR="00464DC1" w:rsidRPr="00464DC1" w:rsidRDefault="00464DC1" w:rsidP="00464DC1">
      <w:pPr>
        <w:rPr>
          <w:lang w:val="en-US"/>
        </w:rPr>
      </w:pPr>
      <w:r w:rsidRPr="00464DC1">
        <w:rPr>
          <w:lang w:val="en-US"/>
        </w:rPr>
        <w:t>11. Environment</w:t>
      </w:r>
    </w:p>
    <w:p w14:paraId="05A253DE" w14:textId="77777777" w:rsidR="00464DC1" w:rsidRPr="00464DC1" w:rsidRDefault="00464DC1" w:rsidP="00464DC1">
      <w:pPr>
        <w:rPr>
          <w:lang w:val="en-US"/>
        </w:rPr>
      </w:pPr>
      <w:r w:rsidRPr="00464DC1">
        <w:rPr>
          <w:lang w:val="en-US"/>
        </w:rPr>
        <w:t xml:space="preserve">11.1 Measures to reduce negative impacts on health and the environment throughout the value chain. In line with the precautionary principle, measures shall be implemented to continuously </w:t>
      </w:r>
      <w:proofErr w:type="spellStart"/>
      <w:r w:rsidRPr="00464DC1">
        <w:rPr>
          <w:lang w:val="en-US"/>
        </w:rPr>
        <w:t>minimise</w:t>
      </w:r>
      <w:proofErr w:type="spellEnd"/>
      <w:r w:rsidRPr="00464DC1">
        <w:rPr>
          <w:lang w:val="en-US"/>
        </w:rPr>
        <w:t xml:space="preserve"> greenhouse gas emissions and local pollution; the use of harmful chemicals; pesticides; and to ensure sustainable resource extraction and management of water, oceans, forests and land and the conservation of biodiversity.</w:t>
      </w:r>
    </w:p>
    <w:p w14:paraId="3F782FC2" w14:textId="77777777" w:rsidR="00464DC1" w:rsidRPr="00464DC1" w:rsidRDefault="00464DC1" w:rsidP="00464DC1">
      <w:pPr>
        <w:rPr>
          <w:lang w:val="en-US"/>
        </w:rPr>
      </w:pPr>
      <w:r w:rsidRPr="00464DC1">
        <w:rPr>
          <w:lang w:val="en-US"/>
        </w:rPr>
        <w:t>11.2 National and international environmental legislation and regulations shall be complied with and relevant emission permits obtained.</w:t>
      </w:r>
    </w:p>
    <w:p w14:paraId="00CD0397" w14:textId="77777777" w:rsidR="00464DC1" w:rsidRPr="00464DC1" w:rsidRDefault="00464DC1" w:rsidP="00464DC1">
      <w:pPr>
        <w:rPr>
          <w:lang w:val="en-US"/>
        </w:rPr>
      </w:pPr>
      <w:r w:rsidRPr="00464DC1">
        <w:rPr>
          <w:lang w:val="en-US"/>
        </w:rPr>
        <w:t>12. Supplier routines and follow-up</w:t>
      </w:r>
    </w:p>
    <w:p w14:paraId="540F70BA" w14:textId="77777777" w:rsidR="00464DC1" w:rsidRPr="00464DC1" w:rsidRDefault="00464DC1" w:rsidP="00464DC1">
      <w:pPr>
        <w:rPr>
          <w:lang w:val="en-US"/>
        </w:rPr>
      </w:pPr>
      <w:r w:rsidRPr="00464DC1">
        <w:rPr>
          <w:lang w:val="en-US"/>
        </w:rPr>
        <w:t>Management systems are central to the implementation of ethical standards. NPA emphasizes the importance of suppliers having systems that support their implementation. Our expectations are made clear by the following:</w:t>
      </w:r>
    </w:p>
    <w:p w14:paraId="6F64643D" w14:textId="77777777" w:rsidR="00464DC1" w:rsidRPr="00464DC1" w:rsidRDefault="00464DC1" w:rsidP="00464DC1">
      <w:pPr>
        <w:rPr>
          <w:lang w:val="en-US"/>
        </w:rPr>
      </w:pPr>
      <w:r w:rsidRPr="00464DC1">
        <w:rPr>
          <w:lang w:val="en-US"/>
        </w:rPr>
        <w:t xml:space="preserve">· Suppliers should designate a responsible person, central to the </w:t>
      </w:r>
      <w:proofErr w:type="spellStart"/>
      <w:r w:rsidRPr="00464DC1">
        <w:rPr>
          <w:lang w:val="en-US"/>
        </w:rPr>
        <w:t>organisation</w:t>
      </w:r>
      <w:proofErr w:type="spellEnd"/>
      <w:r w:rsidRPr="00464DC1">
        <w:rPr>
          <w:lang w:val="en-US"/>
        </w:rPr>
        <w:t>, for the implementation of the ethical guidelines in their own operations;</w:t>
      </w:r>
    </w:p>
    <w:p w14:paraId="79666733" w14:textId="77777777" w:rsidR="00464DC1" w:rsidRPr="00464DC1" w:rsidRDefault="00464DC1" w:rsidP="00464DC1">
      <w:pPr>
        <w:rPr>
          <w:lang w:val="en-US"/>
        </w:rPr>
      </w:pPr>
      <w:r w:rsidRPr="00464DC1">
        <w:rPr>
          <w:lang w:val="en-US"/>
        </w:rPr>
        <w:t xml:space="preserve">· The supplier shall make the guidelines known in all relevant parts of its </w:t>
      </w:r>
      <w:proofErr w:type="spellStart"/>
      <w:r w:rsidRPr="00464DC1">
        <w:rPr>
          <w:lang w:val="en-US"/>
        </w:rPr>
        <w:t>organisation</w:t>
      </w:r>
      <w:proofErr w:type="spellEnd"/>
      <w:r w:rsidRPr="00464DC1">
        <w:rPr>
          <w:lang w:val="en-US"/>
        </w:rPr>
        <w:t>;</w:t>
      </w:r>
    </w:p>
    <w:p w14:paraId="68921738" w14:textId="77777777" w:rsidR="00464DC1" w:rsidRPr="00464DC1" w:rsidRDefault="00464DC1" w:rsidP="00464DC1">
      <w:pPr>
        <w:rPr>
          <w:lang w:val="en-US"/>
        </w:rPr>
      </w:pPr>
      <w:r w:rsidRPr="00464DC1">
        <w:rPr>
          <w:lang w:val="en-US"/>
        </w:rPr>
        <w:t>· The supplier shall obtain consent from NPA before all or part of a production process is outsourced to a subcontractor/contractor where this has not been agreed in advance;</w:t>
      </w:r>
    </w:p>
    <w:p w14:paraId="4791BDBF" w14:textId="77777777" w:rsidR="00464DC1" w:rsidRPr="00464DC1" w:rsidRDefault="00464DC1" w:rsidP="00464DC1">
      <w:pPr>
        <w:rPr>
          <w:lang w:val="en-US"/>
        </w:rPr>
      </w:pPr>
      <w:r w:rsidRPr="00464DC1">
        <w:rPr>
          <w:lang w:val="en-US"/>
        </w:rPr>
        <w:t>· The supplier must be able to explain where goods ordered by NPA are produced.</w:t>
      </w:r>
    </w:p>
    <w:p w14:paraId="3D2932A3" w14:textId="77777777" w:rsidR="00464DC1" w:rsidRPr="00464DC1" w:rsidRDefault="00464DC1" w:rsidP="00464DC1">
      <w:pPr>
        <w:rPr>
          <w:lang w:val="en-US"/>
        </w:rPr>
      </w:pPr>
      <w:r w:rsidRPr="00464DC1">
        <w:rPr>
          <w:lang w:val="en-US"/>
        </w:rPr>
        <w:t>13. Respect for human rights and international humanitarian law</w:t>
      </w:r>
    </w:p>
    <w:p w14:paraId="7088606B" w14:textId="77777777" w:rsidR="00464DC1" w:rsidRPr="00464DC1" w:rsidRDefault="00464DC1" w:rsidP="00464DC1">
      <w:pPr>
        <w:rPr>
          <w:lang w:val="en-US"/>
        </w:rPr>
      </w:pPr>
      <w:r w:rsidRPr="00464DC1">
        <w:rPr>
          <w:lang w:val="en-US"/>
        </w:rPr>
        <w:t xml:space="preserve">In line with these principles, NPA expects all suppliers to respect internationally </w:t>
      </w:r>
      <w:proofErr w:type="spellStart"/>
      <w:r w:rsidRPr="00464DC1">
        <w:rPr>
          <w:lang w:val="en-US"/>
        </w:rPr>
        <w:t>recognised</w:t>
      </w:r>
      <w:proofErr w:type="spellEnd"/>
      <w:r w:rsidRPr="00464DC1">
        <w:rPr>
          <w:lang w:val="en-US"/>
        </w:rPr>
        <w:t xml:space="preserve"> human rights. The UN Guiding Principles on Business and Human Rights specifically state: "Moreover, in situations of armed conflict, businesses should respect standards of international humanitarian law." NPA expects our suppliers to respect the standards of international humanitarian law in situations where these apply.</w:t>
      </w:r>
    </w:p>
    <w:p w14:paraId="3AE7D478" w14:textId="77777777" w:rsidR="00464DC1" w:rsidRPr="00464DC1" w:rsidRDefault="00464DC1" w:rsidP="00464DC1">
      <w:pPr>
        <w:rPr>
          <w:lang w:val="en-US"/>
        </w:rPr>
      </w:pPr>
      <w:r w:rsidRPr="00464DC1">
        <w:rPr>
          <w:lang w:val="en-US"/>
        </w:rPr>
        <w:t>14. Corruption</w:t>
      </w:r>
    </w:p>
    <w:p w14:paraId="6ACED323" w14:textId="77777777" w:rsidR="00464DC1" w:rsidRPr="00464DC1" w:rsidRDefault="00464DC1" w:rsidP="00464DC1">
      <w:pPr>
        <w:rPr>
          <w:lang w:val="en-US"/>
        </w:rPr>
      </w:pPr>
      <w:r w:rsidRPr="00464DC1">
        <w:rPr>
          <w:lang w:val="en-US"/>
        </w:rPr>
        <w:t>Any form of bribery is unacceptable, such as the use of alternative channels to ensure illegitimate private or work-related benefits to customers, agents, contractors, suppliers or their employees, as well as any government officials.</w:t>
      </w:r>
    </w:p>
    <w:p w14:paraId="1B86D3DD" w14:textId="77777777" w:rsidR="00464DC1" w:rsidRPr="00464DC1" w:rsidRDefault="00464DC1" w:rsidP="00464DC1">
      <w:pPr>
        <w:rPr>
          <w:lang w:val="en-US"/>
        </w:rPr>
      </w:pPr>
      <w:r w:rsidRPr="00464DC1">
        <w:rPr>
          <w:lang w:val="en-US"/>
        </w:rPr>
        <w:lastRenderedPageBreak/>
        <w:t>15. Animal welfare</w:t>
      </w:r>
    </w:p>
    <w:p w14:paraId="1E7A795D" w14:textId="77777777" w:rsidR="00464DC1" w:rsidRPr="00464DC1" w:rsidRDefault="00464DC1" w:rsidP="00464DC1">
      <w:pPr>
        <w:rPr>
          <w:lang w:val="en-US"/>
        </w:rPr>
      </w:pPr>
      <w:r w:rsidRPr="00464DC1">
        <w:rPr>
          <w:lang w:val="en-US"/>
        </w:rPr>
        <w:t xml:space="preserve">15.1. Animal welfare shall be respected. Measures should be taken to </w:t>
      </w:r>
      <w:proofErr w:type="spellStart"/>
      <w:r w:rsidRPr="00464DC1">
        <w:rPr>
          <w:lang w:val="en-US"/>
        </w:rPr>
        <w:t>minimise</w:t>
      </w:r>
      <w:proofErr w:type="spellEnd"/>
      <w:r w:rsidRPr="00464DC1">
        <w:rPr>
          <w:lang w:val="en-US"/>
        </w:rPr>
        <w:t xml:space="preserve"> negative impacts on the welfare of farmed and working animals.</w:t>
      </w:r>
    </w:p>
    <w:p w14:paraId="5B8EA17A" w14:textId="77777777" w:rsidR="00464DC1" w:rsidRPr="00464DC1" w:rsidRDefault="00464DC1" w:rsidP="00464DC1">
      <w:pPr>
        <w:rPr>
          <w:lang w:val="en-US"/>
        </w:rPr>
      </w:pPr>
      <w:r w:rsidRPr="00464DC1">
        <w:rPr>
          <w:lang w:val="en-US"/>
        </w:rPr>
        <w:t>15.2. National and international animal welfare legislation and regulations shall be complied with.</w:t>
      </w:r>
    </w:p>
    <w:p w14:paraId="09D5A41C" w14:textId="77777777" w:rsidR="00464DC1" w:rsidRPr="00464DC1" w:rsidRDefault="00464DC1" w:rsidP="00464DC1">
      <w:pPr>
        <w:rPr>
          <w:lang w:val="en-US"/>
        </w:rPr>
      </w:pPr>
      <w:r w:rsidRPr="00464DC1">
        <w:rPr>
          <w:lang w:val="en-US"/>
        </w:rPr>
        <w:t>IV – Audits and Monitoring In order to assess suppliers' compliance with these standards, NPA will make use of audits, either conducted by its own employees or by approved third parties. We reserve the right to monitor compliance with the standards by means of systematic, unannounced or announced inspections, conducted by NPA personnel or independent auditors. Any known censurable conditions can be reported via the website of NPA.</w:t>
      </w:r>
    </w:p>
    <w:p w14:paraId="64057107" w14:textId="77777777" w:rsidR="00464DC1" w:rsidRPr="00464DC1" w:rsidRDefault="00464DC1" w:rsidP="00464DC1">
      <w:pPr>
        <w:rPr>
          <w:lang w:val="en-US"/>
        </w:rPr>
      </w:pPr>
      <w:r w:rsidRPr="00464DC1">
        <w:rPr>
          <w:lang w:val="en-US"/>
        </w:rPr>
        <w:t>V - Corrective Action and Non-Compliance NPA is committed to adhering to the highest standards of ethical behavior. Failure to comply may result in termination of business relationships. NPA recognizes that its own business practices may also have potential negative impacts on people, society and the environment, and undertakes at the same time to implement its own corrective actions and remedy damage caused by its own activities.</w:t>
      </w:r>
    </w:p>
    <w:p w14:paraId="7D71D708" w14:textId="77777777" w:rsidR="00464DC1" w:rsidRDefault="00464DC1" w:rsidP="007323BD">
      <w:pPr>
        <w:rPr>
          <w:lang w:val="en-US"/>
        </w:rPr>
      </w:pPr>
    </w:p>
    <w:p w14:paraId="4281B604" w14:textId="77777777" w:rsidR="002E365E" w:rsidRDefault="002E365E" w:rsidP="007323BD">
      <w:pPr>
        <w:rPr>
          <w:lang w:val="en-US"/>
        </w:rPr>
      </w:pPr>
    </w:p>
    <w:p w14:paraId="329643AE" w14:textId="765ACB57" w:rsidR="002E365E" w:rsidRDefault="002E365E" w:rsidP="007323BD">
      <w:pPr>
        <w:rPr>
          <w:lang w:val="en-US"/>
        </w:rPr>
      </w:pPr>
    </w:p>
    <w:p w14:paraId="6090DDE6" w14:textId="3E8A1EEF" w:rsidR="002E365E" w:rsidRDefault="002E365E" w:rsidP="007323BD">
      <w:pPr>
        <w:rPr>
          <w:lang w:val="en-US"/>
        </w:rPr>
      </w:pPr>
    </w:p>
    <w:p w14:paraId="526A53CD" w14:textId="77777777" w:rsidR="00E81D5D" w:rsidRDefault="00E81D5D" w:rsidP="007323BD">
      <w:pPr>
        <w:rPr>
          <w:lang w:val="en-US"/>
        </w:rPr>
        <w:sectPr w:rsidR="00E81D5D" w:rsidSect="008C5A32">
          <w:headerReference w:type="default" r:id="rId11"/>
          <w:footerReference w:type="default" r:id="rId12"/>
          <w:pgSz w:w="12240" w:h="15840"/>
          <w:pgMar w:top="1440" w:right="1440" w:bottom="1440" w:left="1440" w:header="720" w:footer="720" w:gutter="0"/>
          <w:cols w:space="720"/>
          <w:docGrid w:linePitch="360"/>
        </w:sectPr>
      </w:pPr>
    </w:p>
    <w:p w14:paraId="537C4A5C" w14:textId="3A89FBD9" w:rsidR="00E81D5D" w:rsidRPr="00464DC1" w:rsidRDefault="00E81D5D" w:rsidP="00E81D5D">
      <w:pPr>
        <w:rPr>
          <w:lang w:val="en-US"/>
        </w:rPr>
      </w:pPr>
      <w:r w:rsidRPr="2A8198D3">
        <w:rPr>
          <w:rStyle w:val="Heading5Char"/>
        </w:rPr>
        <w:lastRenderedPageBreak/>
        <w:t>Annex 2</w:t>
      </w:r>
      <w:r w:rsidRPr="2A8198D3">
        <w:rPr>
          <w:lang w:val="en-US"/>
        </w:rPr>
        <w:t xml:space="preserve">: Global Civil Society </w:t>
      </w:r>
      <w:proofErr w:type="spellStart"/>
      <w:r w:rsidRPr="2A8198D3">
        <w:rPr>
          <w:lang w:val="en-US"/>
        </w:rPr>
        <w:t>ToC</w:t>
      </w:r>
      <w:proofErr w:type="spellEnd"/>
      <w:r>
        <w:rPr>
          <w:noProof/>
        </w:rPr>
        <w:drawing>
          <wp:inline distT="0" distB="0" distL="0" distR="0" wp14:anchorId="0DE0EDED" wp14:editId="53BD5187">
            <wp:extent cx="9041587" cy="5340910"/>
            <wp:effectExtent l="0" t="0" r="7620" b="0"/>
            <wp:docPr id="1033995427"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9041587" cy="5340910"/>
                    </a:xfrm>
                    <a:prstGeom prst="rect">
                      <a:avLst/>
                    </a:prstGeom>
                  </pic:spPr>
                </pic:pic>
              </a:graphicData>
            </a:graphic>
          </wp:inline>
        </w:drawing>
      </w:r>
    </w:p>
    <w:sectPr w:rsidR="00E81D5D" w:rsidRPr="00464DC1" w:rsidSect="00E81D5D">
      <w:pgSz w:w="15840" w:h="12240" w:orient="landscape"/>
      <w:pgMar w:top="1440" w:right="1440"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605B7" w14:textId="77777777" w:rsidR="00E4423E" w:rsidRDefault="00E4423E" w:rsidP="00A02763">
      <w:pPr>
        <w:spacing w:after="0" w:line="240" w:lineRule="auto"/>
      </w:pPr>
      <w:r>
        <w:separator/>
      </w:r>
    </w:p>
  </w:endnote>
  <w:endnote w:type="continuationSeparator" w:id="0">
    <w:p w14:paraId="79C3193B" w14:textId="77777777" w:rsidR="00E4423E" w:rsidRDefault="00E4423E" w:rsidP="00A02763">
      <w:pPr>
        <w:spacing w:after="0" w:line="240" w:lineRule="auto"/>
      </w:pPr>
      <w:r>
        <w:continuationSeparator/>
      </w:r>
    </w:p>
  </w:endnote>
  <w:endnote w:type="continuationNotice" w:id="1">
    <w:p w14:paraId="78F88E19" w14:textId="77777777" w:rsidR="00E4423E" w:rsidRDefault="00E442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5658708"/>
      <w:docPartObj>
        <w:docPartGallery w:val="Page Numbers (Bottom of Page)"/>
        <w:docPartUnique/>
      </w:docPartObj>
    </w:sdtPr>
    <w:sdtEndPr>
      <w:rPr>
        <w:noProof/>
      </w:rPr>
    </w:sdtEndPr>
    <w:sdtContent>
      <w:p w14:paraId="68C572B5" w14:textId="6A930B69" w:rsidR="00773908" w:rsidRDefault="00773908">
        <w:pPr>
          <w:pStyle w:val="Footer"/>
          <w:jc w:val="right"/>
        </w:pPr>
        <w:r>
          <w:fldChar w:fldCharType="begin"/>
        </w:r>
        <w:r>
          <w:instrText xml:space="preserve"> PAGE   \* MERGEFORMAT </w:instrText>
        </w:r>
        <w:r>
          <w:fldChar w:fldCharType="separate"/>
        </w:r>
        <w:r w:rsidR="004B39F9">
          <w:rPr>
            <w:noProof/>
          </w:rPr>
          <w:t>4</w:t>
        </w:r>
        <w:r>
          <w:rPr>
            <w:noProof/>
          </w:rPr>
          <w:fldChar w:fldCharType="end"/>
        </w:r>
      </w:p>
    </w:sdtContent>
  </w:sdt>
  <w:p w14:paraId="09664C77" w14:textId="77777777" w:rsidR="00773908" w:rsidRDefault="00773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E0B86" w14:textId="77777777" w:rsidR="00E4423E" w:rsidRDefault="00E4423E" w:rsidP="00A02763">
      <w:pPr>
        <w:spacing w:after="0" w:line="240" w:lineRule="auto"/>
      </w:pPr>
      <w:r>
        <w:separator/>
      </w:r>
    </w:p>
  </w:footnote>
  <w:footnote w:type="continuationSeparator" w:id="0">
    <w:p w14:paraId="65787570" w14:textId="77777777" w:rsidR="00E4423E" w:rsidRDefault="00E4423E" w:rsidP="00A02763">
      <w:pPr>
        <w:spacing w:after="0" w:line="240" w:lineRule="auto"/>
      </w:pPr>
      <w:r>
        <w:continuationSeparator/>
      </w:r>
    </w:p>
  </w:footnote>
  <w:footnote w:type="continuationNotice" w:id="1">
    <w:p w14:paraId="4377DA97" w14:textId="77777777" w:rsidR="00E4423E" w:rsidRDefault="00E442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7E162" w14:textId="77777777" w:rsidR="00773908" w:rsidRDefault="00773908">
    <w:pPr>
      <w:pStyle w:val="Header"/>
    </w:pPr>
    <w:r w:rsidRPr="00F6555A">
      <w:rPr>
        <w:noProof/>
        <w:lang w:val="nb-NO" w:eastAsia="nb-NO"/>
      </w:rPr>
      <w:drawing>
        <wp:inline distT="0" distB="0" distL="0" distR="0" wp14:anchorId="261D3DAD" wp14:editId="082410F9">
          <wp:extent cx="1999268" cy="468172"/>
          <wp:effectExtent l="0" t="0" r="1270" b="8255"/>
          <wp:docPr id="126847752" name="Picture 126847752" descr="C:\Users\beatet\AppData\Local\Microsoft\Windows\Temporary Internet Files\Content.IE5\CVD3272T\Norwegian People's Ai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atet\AppData\Local\Microsoft\Windows\Temporary Internet Files\Content.IE5\CVD3272T\Norwegian People's Ai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188" cy="518266"/>
                  </a:xfrm>
                  <a:prstGeom prst="rect">
                    <a:avLst/>
                  </a:prstGeom>
                  <a:noFill/>
                  <a:ln>
                    <a:noFill/>
                  </a:ln>
                </pic:spPr>
              </pic:pic>
            </a:graphicData>
          </a:graphic>
        </wp:inline>
      </w:drawing>
    </w:r>
  </w:p>
  <w:p w14:paraId="26390137" w14:textId="32CE9158" w:rsidR="00773908" w:rsidRDefault="00773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4E83"/>
    <w:multiLevelType w:val="hybridMultilevel"/>
    <w:tmpl w:val="82EC3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754D9D"/>
    <w:multiLevelType w:val="hybridMultilevel"/>
    <w:tmpl w:val="95AA1A64"/>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62A1AAA"/>
    <w:multiLevelType w:val="hybridMultilevel"/>
    <w:tmpl w:val="CB809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D0D88"/>
    <w:multiLevelType w:val="hybridMultilevel"/>
    <w:tmpl w:val="D1C2A624"/>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E725C81"/>
    <w:multiLevelType w:val="hybridMultilevel"/>
    <w:tmpl w:val="B798D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146B3"/>
    <w:multiLevelType w:val="hybridMultilevel"/>
    <w:tmpl w:val="A89629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1813C61"/>
    <w:multiLevelType w:val="hybridMultilevel"/>
    <w:tmpl w:val="7B781F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0748D"/>
    <w:multiLevelType w:val="hybridMultilevel"/>
    <w:tmpl w:val="235A82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68C3E68"/>
    <w:multiLevelType w:val="hybridMultilevel"/>
    <w:tmpl w:val="E53A92C0"/>
    <w:lvl w:ilvl="0" w:tplc="B8E84D12">
      <w:numFmt w:val="bullet"/>
      <w:lvlText w:val="-"/>
      <w:lvlJc w:val="left"/>
      <w:pPr>
        <w:ind w:left="720" w:hanging="360"/>
      </w:pPr>
      <w:rPr>
        <w:rFonts w:ascii="Calibri" w:eastAsiaTheme="minorEastAsia"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7943B72"/>
    <w:multiLevelType w:val="hybridMultilevel"/>
    <w:tmpl w:val="7F9CF0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B15ED0"/>
    <w:multiLevelType w:val="hybridMultilevel"/>
    <w:tmpl w:val="1CFA0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B708B"/>
    <w:multiLevelType w:val="hybridMultilevel"/>
    <w:tmpl w:val="72D8283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26FF513A"/>
    <w:multiLevelType w:val="hybridMultilevel"/>
    <w:tmpl w:val="1848EEC0"/>
    <w:lvl w:ilvl="0" w:tplc="F0E63BC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23D26"/>
    <w:multiLevelType w:val="hybridMultilevel"/>
    <w:tmpl w:val="127ED65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2CC65D9C"/>
    <w:multiLevelType w:val="hybridMultilevel"/>
    <w:tmpl w:val="9A821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A682D"/>
    <w:multiLevelType w:val="multilevel"/>
    <w:tmpl w:val="C8AAAF8A"/>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6" w15:restartNumberingAfterBreak="0">
    <w:nsid w:val="36180617"/>
    <w:multiLevelType w:val="hybridMultilevel"/>
    <w:tmpl w:val="702A6B96"/>
    <w:lvl w:ilvl="0" w:tplc="8A6AA9BE">
      <w:start w:val="6"/>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A64712"/>
    <w:multiLevelType w:val="hybridMultilevel"/>
    <w:tmpl w:val="4C5AABF8"/>
    <w:lvl w:ilvl="0" w:tplc="B8E84D12">
      <w:numFmt w:val="bullet"/>
      <w:lvlText w:val="-"/>
      <w:lvlJc w:val="left"/>
      <w:pPr>
        <w:ind w:left="360" w:hanging="360"/>
      </w:pPr>
      <w:rPr>
        <w:rFonts w:ascii="Calibri" w:eastAsiaTheme="minorEastAsia"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3B125785"/>
    <w:multiLevelType w:val="hybridMultilevel"/>
    <w:tmpl w:val="B2226A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BE90A6C"/>
    <w:multiLevelType w:val="hybridMultilevel"/>
    <w:tmpl w:val="E90881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BF6128F"/>
    <w:multiLevelType w:val="hybridMultilevel"/>
    <w:tmpl w:val="64D48958"/>
    <w:lvl w:ilvl="0" w:tplc="DABE35A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3CBA712E"/>
    <w:multiLevelType w:val="hybridMultilevel"/>
    <w:tmpl w:val="A2A2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72FCB"/>
    <w:multiLevelType w:val="hybridMultilevel"/>
    <w:tmpl w:val="88ACBCA0"/>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43FD05EE"/>
    <w:multiLevelType w:val="hybridMultilevel"/>
    <w:tmpl w:val="31B41C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4B173CD"/>
    <w:multiLevelType w:val="hybridMultilevel"/>
    <w:tmpl w:val="C3DC82F6"/>
    <w:lvl w:ilvl="0" w:tplc="B8E84D12">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90E6B2F"/>
    <w:multiLevelType w:val="hybridMultilevel"/>
    <w:tmpl w:val="71EE29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9B439A2"/>
    <w:multiLevelType w:val="hybridMultilevel"/>
    <w:tmpl w:val="BBDEC3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5858E2"/>
    <w:multiLevelType w:val="hybridMultilevel"/>
    <w:tmpl w:val="EE3C37EE"/>
    <w:lvl w:ilvl="0" w:tplc="A2D8B360">
      <w:numFmt w:val="bullet"/>
      <w:lvlText w:val="-"/>
      <w:lvlJc w:val="left"/>
      <w:pPr>
        <w:ind w:left="720" w:hanging="360"/>
      </w:pPr>
      <w:rPr>
        <w:rFonts w:ascii="Arial" w:eastAsiaTheme="maj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17A7684"/>
    <w:multiLevelType w:val="hybridMultilevel"/>
    <w:tmpl w:val="FB70AB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2C17FC5"/>
    <w:multiLevelType w:val="hybridMultilevel"/>
    <w:tmpl w:val="F1EA464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7AD4A48"/>
    <w:multiLevelType w:val="hybridMultilevel"/>
    <w:tmpl w:val="CB76E4AC"/>
    <w:lvl w:ilvl="0" w:tplc="02AE3C8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54F4B"/>
    <w:multiLevelType w:val="multilevel"/>
    <w:tmpl w:val="780E0B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DD87787"/>
    <w:multiLevelType w:val="hybridMultilevel"/>
    <w:tmpl w:val="B470D15C"/>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5FBD1543"/>
    <w:multiLevelType w:val="hybridMultilevel"/>
    <w:tmpl w:val="C24A3B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2A50E4E"/>
    <w:multiLevelType w:val="hybridMultilevel"/>
    <w:tmpl w:val="E25CA538"/>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64D62AB1"/>
    <w:multiLevelType w:val="hybridMultilevel"/>
    <w:tmpl w:val="4132944A"/>
    <w:lvl w:ilvl="0" w:tplc="9CC0E42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446197"/>
    <w:multiLevelType w:val="hybridMultilevel"/>
    <w:tmpl w:val="42A2C5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AA87B0B"/>
    <w:multiLevelType w:val="hybridMultilevel"/>
    <w:tmpl w:val="3A1817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73A67638"/>
    <w:multiLevelType w:val="hybridMultilevel"/>
    <w:tmpl w:val="416E9F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6ED32D3"/>
    <w:multiLevelType w:val="multilevel"/>
    <w:tmpl w:val="FCB6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C01996"/>
    <w:multiLevelType w:val="hybridMultilevel"/>
    <w:tmpl w:val="93EEA7A8"/>
    <w:lvl w:ilvl="0" w:tplc="0409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B2C2839"/>
    <w:multiLevelType w:val="hybridMultilevel"/>
    <w:tmpl w:val="85CAFAC8"/>
    <w:lvl w:ilvl="0" w:tplc="8A6AA9BE">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26094D"/>
    <w:multiLevelType w:val="hybridMultilevel"/>
    <w:tmpl w:val="EC2292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3C4191"/>
    <w:multiLevelType w:val="hybridMultilevel"/>
    <w:tmpl w:val="2FEE4A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D5A28B1"/>
    <w:multiLevelType w:val="hybridMultilevel"/>
    <w:tmpl w:val="26AAB014"/>
    <w:lvl w:ilvl="0" w:tplc="B8E84D12">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F0C4EDB"/>
    <w:multiLevelType w:val="multilevel"/>
    <w:tmpl w:val="DE88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4600D6"/>
    <w:multiLevelType w:val="multilevel"/>
    <w:tmpl w:val="9C54E7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56520434">
    <w:abstractNumId w:val="44"/>
  </w:num>
  <w:num w:numId="2" w16cid:durableId="767196132">
    <w:abstractNumId w:val="11"/>
  </w:num>
  <w:num w:numId="3" w16cid:durableId="1180585869">
    <w:abstractNumId w:val="13"/>
  </w:num>
  <w:num w:numId="4" w16cid:durableId="1750037409">
    <w:abstractNumId w:val="37"/>
  </w:num>
  <w:num w:numId="5" w16cid:durableId="1476870224">
    <w:abstractNumId w:val="17"/>
  </w:num>
  <w:num w:numId="6" w16cid:durableId="557782550">
    <w:abstractNumId w:val="8"/>
  </w:num>
  <w:num w:numId="7" w16cid:durableId="15262101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2311412">
    <w:abstractNumId w:val="24"/>
  </w:num>
  <w:num w:numId="9" w16cid:durableId="1361542781">
    <w:abstractNumId w:val="25"/>
  </w:num>
  <w:num w:numId="10" w16cid:durableId="1925722905">
    <w:abstractNumId w:val="43"/>
  </w:num>
  <w:num w:numId="11" w16cid:durableId="804468859">
    <w:abstractNumId w:val="29"/>
  </w:num>
  <w:num w:numId="12" w16cid:durableId="462967617">
    <w:abstractNumId w:val="33"/>
  </w:num>
  <w:num w:numId="13" w16cid:durableId="53505351">
    <w:abstractNumId w:val="22"/>
  </w:num>
  <w:num w:numId="14" w16cid:durableId="2133858996">
    <w:abstractNumId w:val="3"/>
  </w:num>
  <w:num w:numId="15" w16cid:durableId="1543134902">
    <w:abstractNumId w:val="1"/>
  </w:num>
  <w:num w:numId="16" w16cid:durableId="1918981278">
    <w:abstractNumId w:val="34"/>
  </w:num>
  <w:num w:numId="17" w16cid:durableId="877086246">
    <w:abstractNumId w:val="32"/>
  </w:num>
  <w:num w:numId="18" w16cid:durableId="992029815">
    <w:abstractNumId w:val="45"/>
  </w:num>
  <w:num w:numId="19" w16cid:durableId="1866629032">
    <w:abstractNumId w:val="23"/>
  </w:num>
  <w:num w:numId="20" w16cid:durableId="1189757742">
    <w:abstractNumId w:val="28"/>
  </w:num>
  <w:num w:numId="21" w16cid:durableId="520969511">
    <w:abstractNumId w:val="21"/>
  </w:num>
  <w:num w:numId="22" w16cid:durableId="1093009588">
    <w:abstractNumId w:val="36"/>
  </w:num>
  <w:num w:numId="23" w16cid:durableId="1959138727">
    <w:abstractNumId w:val="38"/>
  </w:num>
  <w:num w:numId="24" w16cid:durableId="1829586937">
    <w:abstractNumId w:val="19"/>
  </w:num>
  <w:num w:numId="25" w16cid:durableId="565796697">
    <w:abstractNumId w:val="5"/>
  </w:num>
  <w:num w:numId="26" w16cid:durableId="329139593">
    <w:abstractNumId w:val="12"/>
  </w:num>
  <w:num w:numId="27" w16cid:durableId="438524649">
    <w:abstractNumId w:val="0"/>
  </w:num>
  <w:num w:numId="28" w16cid:durableId="1284388636">
    <w:abstractNumId w:val="40"/>
  </w:num>
  <w:num w:numId="29" w16cid:durableId="240483970">
    <w:abstractNumId w:val="27"/>
  </w:num>
  <w:num w:numId="30" w16cid:durableId="279148797">
    <w:abstractNumId w:val="18"/>
  </w:num>
  <w:num w:numId="31" w16cid:durableId="1278949844">
    <w:abstractNumId w:val="7"/>
  </w:num>
  <w:num w:numId="32" w16cid:durableId="912856445">
    <w:abstractNumId w:val="35"/>
  </w:num>
  <w:num w:numId="33" w16cid:durableId="1705788438">
    <w:abstractNumId w:val="30"/>
  </w:num>
  <w:num w:numId="34" w16cid:durableId="450561563">
    <w:abstractNumId w:val="26"/>
  </w:num>
  <w:num w:numId="35" w16cid:durableId="579872556">
    <w:abstractNumId w:val="10"/>
  </w:num>
  <w:num w:numId="36" w16cid:durableId="1868910001">
    <w:abstractNumId w:val="6"/>
  </w:num>
  <w:num w:numId="37" w16cid:durableId="962811127">
    <w:abstractNumId w:val="14"/>
  </w:num>
  <w:num w:numId="38" w16cid:durableId="987589420">
    <w:abstractNumId w:val="16"/>
  </w:num>
  <w:num w:numId="39" w16cid:durableId="1362169208">
    <w:abstractNumId w:val="20"/>
  </w:num>
  <w:num w:numId="40" w16cid:durableId="1839418582">
    <w:abstractNumId w:val="2"/>
  </w:num>
  <w:num w:numId="41" w16cid:durableId="777994441">
    <w:abstractNumId w:val="46"/>
  </w:num>
  <w:num w:numId="42" w16cid:durableId="1698850174">
    <w:abstractNumId w:val="15"/>
  </w:num>
  <w:num w:numId="43" w16cid:durableId="126708538">
    <w:abstractNumId w:val="31"/>
  </w:num>
  <w:num w:numId="44" w16cid:durableId="458374358">
    <w:abstractNumId w:val="4"/>
  </w:num>
  <w:num w:numId="45" w16cid:durableId="279381518">
    <w:abstractNumId w:val="41"/>
  </w:num>
  <w:num w:numId="46" w16cid:durableId="459807294">
    <w:abstractNumId w:val="42"/>
  </w:num>
  <w:num w:numId="47" w16cid:durableId="66763163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b-NO"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63"/>
    <w:rsid w:val="0000080C"/>
    <w:rsid w:val="00006926"/>
    <w:rsid w:val="000069A8"/>
    <w:rsid w:val="00013C3C"/>
    <w:rsid w:val="00014BEB"/>
    <w:rsid w:val="00015522"/>
    <w:rsid w:val="00026C5F"/>
    <w:rsid w:val="00030E2E"/>
    <w:rsid w:val="00033F8C"/>
    <w:rsid w:val="00037BDC"/>
    <w:rsid w:val="00042CDB"/>
    <w:rsid w:val="00045E20"/>
    <w:rsid w:val="00046EE5"/>
    <w:rsid w:val="00047980"/>
    <w:rsid w:val="0005521D"/>
    <w:rsid w:val="0005795B"/>
    <w:rsid w:val="00060C64"/>
    <w:rsid w:val="0006166E"/>
    <w:rsid w:val="00061DC5"/>
    <w:rsid w:val="00064D0A"/>
    <w:rsid w:val="00070D94"/>
    <w:rsid w:val="00071EC4"/>
    <w:rsid w:val="000740E7"/>
    <w:rsid w:val="00076649"/>
    <w:rsid w:val="0008559D"/>
    <w:rsid w:val="00085709"/>
    <w:rsid w:val="00091E08"/>
    <w:rsid w:val="00092622"/>
    <w:rsid w:val="00093DCE"/>
    <w:rsid w:val="00096C40"/>
    <w:rsid w:val="000A139F"/>
    <w:rsid w:val="000A41EC"/>
    <w:rsid w:val="000A5139"/>
    <w:rsid w:val="000A56D5"/>
    <w:rsid w:val="000A6432"/>
    <w:rsid w:val="000A7EA4"/>
    <w:rsid w:val="000B0FFD"/>
    <w:rsid w:val="000B26B8"/>
    <w:rsid w:val="000B2C96"/>
    <w:rsid w:val="000B41F2"/>
    <w:rsid w:val="000B4C91"/>
    <w:rsid w:val="000B723C"/>
    <w:rsid w:val="000C086B"/>
    <w:rsid w:val="000C0952"/>
    <w:rsid w:val="000C2C3F"/>
    <w:rsid w:val="000C4F87"/>
    <w:rsid w:val="000D0579"/>
    <w:rsid w:val="000D3079"/>
    <w:rsid w:val="000D6013"/>
    <w:rsid w:val="000D622E"/>
    <w:rsid w:val="000D6EBD"/>
    <w:rsid w:val="000E4E66"/>
    <w:rsid w:val="000E61F6"/>
    <w:rsid w:val="000E6CFD"/>
    <w:rsid w:val="000F21A9"/>
    <w:rsid w:val="000F409F"/>
    <w:rsid w:val="000F40CF"/>
    <w:rsid w:val="00100911"/>
    <w:rsid w:val="00101BF5"/>
    <w:rsid w:val="00102429"/>
    <w:rsid w:val="00105A87"/>
    <w:rsid w:val="001062FE"/>
    <w:rsid w:val="00111E48"/>
    <w:rsid w:val="00112866"/>
    <w:rsid w:val="001271DD"/>
    <w:rsid w:val="00130FFE"/>
    <w:rsid w:val="00131C98"/>
    <w:rsid w:val="001363AE"/>
    <w:rsid w:val="00140F20"/>
    <w:rsid w:val="0015042E"/>
    <w:rsid w:val="00152301"/>
    <w:rsid w:val="001543A9"/>
    <w:rsid w:val="00167277"/>
    <w:rsid w:val="001731C5"/>
    <w:rsid w:val="00177FD8"/>
    <w:rsid w:val="00187A2B"/>
    <w:rsid w:val="00192307"/>
    <w:rsid w:val="00195323"/>
    <w:rsid w:val="00197127"/>
    <w:rsid w:val="001A1635"/>
    <w:rsid w:val="001A3B18"/>
    <w:rsid w:val="001A4B79"/>
    <w:rsid w:val="001A7401"/>
    <w:rsid w:val="001A742B"/>
    <w:rsid w:val="001B01B6"/>
    <w:rsid w:val="001B0230"/>
    <w:rsid w:val="001B4C41"/>
    <w:rsid w:val="001D0889"/>
    <w:rsid w:val="001D2E03"/>
    <w:rsid w:val="001D53DD"/>
    <w:rsid w:val="001E0E2C"/>
    <w:rsid w:val="001E6601"/>
    <w:rsid w:val="001E73B0"/>
    <w:rsid w:val="001F2236"/>
    <w:rsid w:val="001F6D32"/>
    <w:rsid w:val="002005EE"/>
    <w:rsid w:val="002032C3"/>
    <w:rsid w:val="002054EF"/>
    <w:rsid w:val="00207AA2"/>
    <w:rsid w:val="002133C4"/>
    <w:rsid w:val="002159C1"/>
    <w:rsid w:val="002170F5"/>
    <w:rsid w:val="00220A71"/>
    <w:rsid w:val="002261B3"/>
    <w:rsid w:val="002278A3"/>
    <w:rsid w:val="00231D41"/>
    <w:rsid w:val="0023550A"/>
    <w:rsid w:val="00237396"/>
    <w:rsid w:val="00246B0B"/>
    <w:rsid w:val="00247CE1"/>
    <w:rsid w:val="00251861"/>
    <w:rsid w:val="00260D41"/>
    <w:rsid w:val="00260EA3"/>
    <w:rsid w:val="00266932"/>
    <w:rsid w:val="0027372C"/>
    <w:rsid w:val="00287D58"/>
    <w:rsid w:val="00296FED"/>
    <w:rsid w:val="002A1079"/>
    <w:rsid w:val="002A1106"/>
    <w:rsid w:val="002B0DF1"/>
    <w:rsid w:val="002C3706"/>
    <w:rsid w:val="002C4F38"/>
    <w:rsid w:val="002C756C"/>
    <w:rsid w:val="002D10D9"/>
    <w:rsid w:val="002D1101"/>
    <w:rsid w:val="002D4154"/>
    <w:rsid w:val="002E25F8"/>
    <w:rsid w:val="002E365E"/>
    <w:rsid w:val="002E3F42"/>
    <w:rsid w:val="002F1442"/>
    <w:rsid w:val="002F31F7"/>
    <w:rsid w:val="00301B58"/>
    <w:rsid w:val="00310519"/>
    <w:rsid w:val="00310CE8"/>
    <w:rsid w:val="00313ECC"/>
    <w:rsid w:val="003177C8"/>
    <w:rsid w:val="003327DA"/>
    <w:rsid w:val="00343B93"/>
    <w:rsid w:val="00343D5A"/>
    <w:rsid w:val="00344554"/>
    <w:rsid w:val="003603A0"/>
    <w:rsid w:val="0036356F"/>
    <w:rsid w:val="003704C4"/>
    <w:rsid w:val="0037080F"/>
    <w:rsid w:val="0037435C"/>
    <w:rsid w:val="003809B2"/>
    <w:rsid w:val="003812A6"/>
    <w:rsid w:val="00381F0C"/>
    <w:rsid w:val="00383B63"/>
    <w:rsid w:val="0038527D"/>
    <w:rsid w:val="00385DCA"/>
    <w:rsid w:val="00391FC9"/>
    <w:rsid w:val="003946AB"/>
    <w:rsid w:val="003947DC"/>
    <w:rsid w:val="00397E15"/>
    <w:rsid w:val="003A1F4C"/>
    <w:rsid w:val="003A1FC1"/>
    <w:rsid w:val="003A49F0"/>
    <w:rsid w:val="003A5982"/>
    <w:rsid w:val="003A5B4E"/>
    <w:rsid w:val="003B32AD"/>
    <w:rsid w:val="003B5CBC"/>
    <w:rsid w:val="003C295F"/>
    <w:rsid w:val="003C603C"/>
    <w:rsid w:val="003D74FE"/>
    <w:rsid w:val="003E03E2"/>
    <w:rsid w:val="003E0AFF"/>
    <w:rsid w:val="003E1A62"/>
    <w:rsid w:val="003E26B2"/>
    <w:rsid w:val="003F075F"/>
    <w:rsid w:val="003F362E"/>
    <w:rsid w:val="003F388D"/>
    <w:rsid w:val="003F3F65"/>
    <w:rsid w:val="003F7B3D"/>
    <w:rsid w:val="004038B4"/>
    <w:rsid w:val="00403DBE"/>
    <w:rsid w:val="00404165"/>
    <w:rsid w:val="00406530"/>
    <w:rsid w:val="0042476F"/>
    <w:rsid w:val="00427ACF"/>
    <w:rsid w:val="00430331"/>
    <w:rsid w:val="00430698"/>
    <w:rsid w:val="004314F3"/>
    <w:rsid w:val="00433387"/>
    <w:rsid w:val="004365AF"/>
    <w:rsid w:val="00440BF3"/>
    <w:rsid w:val="004412B4"/>
    <w:rsid w:val="00441B81"/>
    <w:rsid w:val="00441BDA"/>
    <w:rsid w:val="00443056"/>
    <w:rsid w:val="00443B06"/>
    <w:rsid w:val="0044551A"/>
    <w:rsid w:val="00446255"/>
    <w:rsid w:val="004626FA"/>
    <w:rsid w:val="00462B99"/>
    <w:rsid w:val="00463EB0"/>
    <w:rsid w:val="00464DC1"/>
    <w:rsid w:val="00464E6A"/>
    <w:rsid w:val="00467538"/>
    <w:rsid w:val="0046797B"/>
    <w:rsid w:val="00470095"/>
    <w:rsid w:val="00472FAB"/>
    <w:rsid w:val="00474099"/>
    <w:rsid w:val="0047530B"/>
    <w:rsid w:val="0047544F"/>
    <w:rsid w:val="00475AF3"/>
    <w:rsid w:val="00483797"/>
    <w:rsid w:val="00486745"/>
    <w:rsid w:val="004871B2"/>
    <w:rsid w:val="004A1AF1"/>
    <w:rsid w:val="004A501F"/>
    <w:rsid w:val="004B39F9"/>
    <w:rsid w:val="004B3BB9"/>
    <w:rsid w:val="004C0EDC"/>
    <w:rsid w:val="004C293F"/>
    <w:rsid w:val="004C4604"/>
    <w:rsid w:val="004D04DE"/>
    <w:rsid w:val="004D2803"/>
    <w:rsid w:val="004D42C1"/>
    <w:rsid w:val="004D4603"/>
    <w:rsid w:val="004E1463"/>
    <w:rsid w:val="004E2230"/>
    <w:rsid w:val="004E426A"/>
    <w:rsid w:val="004E64F4"/>
    <w:rsid w:val="004F2316"/>
    <w:rsid w:val="004F2F0B"/>
    <w:rsid w:val="004F568A"/>
    <w:rsid w:val="004F5827"/>
    <w:rsid w:val="004F5C68"/>
    <w:rsid w:val="004F6142"/>
    <w:rsid w:val="005065D5"/>
    <w:rsid w:val="00506FA9"/>
    <w:rsid w:val="00510B8F"/>
    <w:rsid w:val="005110D7"/>
    <w:rsid w:val="005111A3"/>
    <w:rsid w:val="00513530"/>
    <w:rsid w:val="005169B4"/>
    <w:rsid w:val="005201CB"/>
    <w:rsid w:val="00520889"/>
    <w:rsid w:val="00521D6C"/>
    <w:rsid w:val="00524721"/>
    <w:rsid w:val="00525137"/>
    <w:rsid w:val="00532F8F"/>
    <w:rsid w:val="0053402F"/>
    <w:rsid w:val="0053672A"/>
    <w:rsid w:val="0053760E"/>
    <w:rsid w:val="00537750"/>
    <w:rsid w:val="0055233A"/>
    <w:rsid w:val="005533C0"/>
    <w:rsid w:val="00556062"/>
    <w:rsid w:val="00560ADB"/>
    <w:rsid w:val="0056359B"/>
    <w:rsid w:val="0056359C"/>
    <w:rsid w:val="00567031"/>
    <w:rsid w:val="00573201"/>
    <w:rsid w:val="0057561F"/>
    <w:rsid w:val="005819AF"/>
    <w:rsid w:val="00583635"/>
    <w:rsid w:val="005877F1"/>
    <w:rsid w:val="005905E2"/>
    <w:rsid w:val="00594359"/>
    <w:rsid w:val="00594EC3"/>
    <w:rsid w:val="00594FFB"/>
    <w:rsid w:val="005978D3"/>
    <w:rsid w:val="005A722D"/>
    <w:rsid w:val="005A74C4"/>
    <w:rsid w:val="005B3F23"/>
    <w:rsid w:val="005B7E09"/>
    <w:rsid w:val="005C42FA"/>
    <w:rsid w:val="005C5A95"/>
    <w:rsid w:val="005C6C02"/>
    <w:rsid w:val="005D7B2C"/>
    <w:rsid w:val="005E30AB"/>
    <w:rsid w:val="005F1331"/>
    <w:rsid w:val="005F247F"/>
    <w:rsid w:val="005F2D54"/>
    <w:rsid w:val="006011CD"/>
    <w:rsid w:val="006059CC"/>
    <w:rsid w:val="00606063"/>
    <w:rsid w:val="0061208F"/>
    <w:rsid w:val="0062009F"/>
    <w:rsid w:val="00620883"/>
    <w:rsid w:val="00623CE0"/>
    <w:rsid w:val="00627576"/>
    <w:rsid w:val="00635591"/>
    <w:rsid w:val="0063600C"/>
    <w:rsid w:val="00636BF2"/>
    <w:rsid w:val="006405DA"/>
    <w:rsid w:val="006439D4"/>
    <w:rsid w:val="00644B86"/>
    <w:rsid w:val="006463A0"/>
    <w:rsid w:val="00652635"/>
    <w:rsid w:val="0065463E"/>
    <w:rsid w:val="00660423"/>
    <w:rsid w:val="00660E76"/>
    <w:rsid w:val="0066145B"/>
    <w:rsid w:val="00663797"/>
    <w:rsid w:val="00667A45"/>
    <w:rsid w:val="00676029"/>
    <w:rsid w:val="006825E0"/>
    <w:rsid w:val="0068297B"/>
    <w:rsid w:val="006854A8"/>
    <w:rsid w:val="00692648"/>
    <w:rsid w:val="006A3B26"/>
    <w:rsid w:val="006B1A5A"/>
    <w:rsid w:val="006B4A24"/>
    <w:rsid w:val="006C7E8B"/>
    <w:rsid w:val="006D2443"/>
    <w:rsid w:val="006D2564"/>
    <w:rsid w:val="006D3F61"/>
    <w:rsid w:val="006E111E"/>
    <w:rsid w:val="006E1900"/>
    <w:rsid w:val="006E247D"/>
    <w:rsid w:val="006E5BB3"/>
    <w:rsid w:val="006E66B0"/>
    <w:rsid w:val="006F072B"/>
    <w:rsid w:val="006F36FA"/>
    <w:rsid w:val="006F55A2"/>
    <w:rsid w:val="00701D31"/>
    <w:rsid w:val="00703963"/>
    <w:rsid w:val="007056B2"/>
    <w:rsid w:val="00706B90"/>
    <w:rsid w:val="00707B6E"/>
    <w:rsid w:val="00707D8F"/>
    <w:rsid w:val="007129AF"/>
    <w:rsid w:val="00713A9D"/>
    <w:rsid w:val="007161B9"/>
    <w:rsid w:val="00731BC6"/>
    <w:rsid w:val="007323BD"/>
    <w:rsid w:val="007350B6"/>
    <w:rsid w:val="007357CF"/>
    <w:rsid w:val="00736E10"/>
    <w:rsid w:val="00743461"/>
    <w:rsid w:val="0074351B"/>
    <w:rsid w:val="0074399E"/>
    <w:rsid w:val="00745480"/>
    <w:rsid w:val="007472AD"/>
    <w:rsid w:val="00747461"/>
    <w:rsid w:val="007510DD"/>
    <w:rsid w:val="007514BB"/>
    <w:rsid w:val="00751F9D"/>
    <w:rsid w:val="00752001"/>
    <w:rsid w:val="00753A5D"/>
    <w:rsid w:val="007572C0"/>
    <w:rsid w:val="007611B3"/>
    <w:rsid w:val="00762118"/>
    <w:rsid w:val="00763325"/>
    <w:rsid w:val="0076395C"/>
    <w:rsid w:val="00764E15"/>
    <w:rsid w:val="0076510B"/>
    <w:rsid w:val="00766D73"/>
    <w:rsid w:val="007702C7"/>
    <w:rsid w:val="007707CA"/>
    <w:rsid w:val="00773908"/>
    <w:rsid w:val="00775AD6"/>
    <w:rsid w:val="00783FE7"/>
    <w:rsid w:val="007841DD"/>
    <w:rsid w:val="00785498"/>
    <w:rsid w:val="00791C9C"/>
    <w:rsid w:val="00792560"/>
    <w:rsid w:val="00796775"/>
    <w:rsid w:val="007B4C68"/>
    <w:rsid w:val="007B6E84"/>
    <w:rsid w:val="007C1DA3"/>
    <w:rsid w:val="007C3F38"/>
    <w:rsid w:val="007C675D"/>
    <w:rsid w:val="007D01A4"/>
    <w:rsid w:val="007D71EE"/>
    <w:rsid w:val="007E5915"/>
    <w:rsid w:val="007E6370"/>
    <w:rsid w:val="007E7E97"/>
    <w:rsid w:val="007F3125"/>
    <w:rsid w:val="007F4217"/>
    <w:rsid w:val="007F4EF1"/>
    <w:rsid w:val="008152F5"/>
    <w:rsid w:val="00816ABF"/>
    <w:rsid w:val="0081770D"/>
    <w:rsid w:val="00820653"/>
    <w:rsid w:val="008265D2"/>
    <w:rsid w:val="008279B8"/>
    <w:rsid w:val="008331D2"/>
    <w:rsid w:val="00834089"/>
    <w:rsid w:val="00835327"/>
    <w:rsid w:val="0083647B"/>
    <w:rsid w:val="00836F3C"/>
    <w:rsid w:val="008403D0"/>
    <w:rsid w:val="008441FC"/>
    <w:rsid w:val="008448A9"/>
    <w:rsid w:val="008516FA"/>
    <w:rsid w:val="0085175F"/>
    <w:rsid w:val="008528EC"/>
    <w:rsid w:val="00854CAB"/>
    <w:rsid w:val="00855122"/>
    <w:rsid w:val="00857A8D"/>
    <w:rsid w:val="008622CB"/>
    <w:rsid w:val="00870126"/>
    <w:rsid w:val="00877F20"/>
    <w:rsid w:val="00883EC5"/>
    <w:rsid w:val="00885554"/>
    <w:rsid w:val="00887122"/>
    <w:rsid w:val="0088730C"/>
    <w:rsid w:val="008873A5"/>
    <w:rsid w:val="00891916"/>
    <w:rsid w:val="00891F6B"/>
    <w:rsid w:val="00893C12"/>
    <w:rsid w:val="008A09F9"/>
    <w:rsid w:val="008A4FAA"/>
    <w:rsid w:val="008A5881"/>
    <w:rsid w:val="008A61CA"/>
    <w:rsid w:val="008B3AEE"/>
    <w:rsid w:val="008C0450"/>
    <w:rsid w:val="008C2B0A"/>
    <w:rsid w:val="008C3BFB"/>
    <w:rsid w:val="008C5A32"/>
    <w:rsid w:val="008D014F"/>
    <w:rsid w:val="008D0DE6"/>
    <w:rsid w:val="008D1CD9"/>
    <w:rsid w:val="008D656A"/>
    <w:rsid w:val="008E1644"/>
    <w:rsid w:val="008F0089"/>
    <w:rsid w:val="008F273A"/>
    <w:rsid w:val="008F2CA5"/>
    <w:rsid w:val="008F2DCF"/>
    <w:rsid w:val="008F5987"/>
    <w:rsid w:val="008F6C25"/>
    <w:rsid w:val="009108CC"/>
    <w:rsid w:val="00914646"/>
    <w:rsid w:val="0091534A"/>
    <w:rsid w:val="009179C4"/>
    <w:rsid w:val="00920355"/>
    <w:rsid w:val="00921D50"/>
    <w:rsid w:val="00922FFB"/>
    <w:rsid w:val="00923421"/>
    <w:rsid w:val="009350A0"/>
    <w:rsid w:val="009368AE"/>
    <w:rsid w:val="00940109"/>
    <w:rsid w:val="009407CD"/>
    <w:rsid w:val="00940FF6"/>
    <w:rsid w:val="009425FB"/>
    <w:rsid w:val="00942B03"/>
    <w:rsid w:val="009502AE"/>
    <w:rsid w:val="0095629A"/>
    <w:rsid w:val="009579CE"/>
    <w:rsid w:val="00960021"/>
    <w:rsid w:val="009635AB"/>
    <w:rsid w:val="009643B7"/>
    <w:rsid w:val="00964FA2"/>
    <w:rsid w:val="00966D79"/>
    <w:rsid w:val="009672B6"/>
    <w:rsid w:val="00972EFC"/>
    <w:rsid w:val="00977755"/>
    <w:rsid w:val="00981F05"/>
    <w:rsid w:val="0098215E"/>
    <w:rsid w:val="00982861"/>
    <w:rsid w:val="009861E4"/>
    <w:rsid w:val="009A05BF"/>
    <w:rsid w:val="009A10BB"/>
    <w:rsid w:val="009A1413"/>
    <w:rsid w:val="009A72BD"/>
    <w:rsid w:val="009B50AC"/>
    <w:rsid w:val="009C36E5"/>
    <w:rsid w:val="009C47D0"/>
    <w:rsid w:val="009D0B29"/>
    <w:rsid w:val="009D15D1"/>
    <w:rsid w:val="009D17F8"/>
    <w:rsid w:val="009D3255"/>
    <w:rsid w:val="009D54BE"/>
    <w:rsid w:val="009D598A"/>
    <w:rsid w:val="009D65A6"/>
    <w:rsid w:val="009E1247"/>
    <w:rsid w:val="009F00EA"/>
    <w:rsid w:val="009F048D"/>
    <w:rsid w:val="009F0898"/>
    <w:rsid w:val="009F2D5E"/>
    <w:rsid w:val="009F512A"/>
    <w:rsid w:val="00A02763"/>
    <w:rsid w:val="00A060BD"/>
    <w:rsid w:val="00A10F58"/>
    <w:rsid w:val="00A1367C"/>
    <w:rsid w:val="00A1389F"/>
    <w:rsid w:val="00A16F81"/>
    <w:rsid w:val="00A204C4"/>
    <w:rsid w:val="00A2084F"/>
    <w:rsid w:val="00A21F48"/>
    <w:rsid w:val="00A2648D"/>
    <w:rsid w:val="00A31604"/>
    <w:rsid w:val="00A33B49"/>
    <w:rsid w:val="00A4666B"/>
    <w:rsid w:val="00A505AF"/>
    <w:rsid w:val="00A50EF5"/>
    <w:rsid w:val="00A52F5B"/>
    <w:rsid w:val="00A55D5C"/>
    <w:rsid w:val="00A60E53"/>
    <w:rsid w:val="00A65AB1"/>
    <w:rsid w:val="00A66C55"/>
    <w:rsid w:val="00A71430"/>
    <w:rsid w:val="00A82A0D"/>
    <w:rsid w:val="00A90802"/>
    <w:rsid w:val="00A94B38"/>
    <w:rsid w:val="00AA105B"/>
    <w:rsid w:val="00AB1814"/>
    <w:rsid w:val="00AB4A40"/>
    <w:rsid w:val="00AB55EC"/>
    <w:rsid w:val="00AC2A01"/>
    <w:rsid w:val="00AC5177"/>
    <w:rsid w:val="00AC53B0"/>
    <w:rsid w:val="00AC6DF1"/>
    <w:rsid w:val="00AD46C1"/>
    <w:rsid w:val="00AF4249"/>
    <w:rsid w:val="00AF51D0"/>
    <w:rsid w:val="00AF599D"/>
    <w:rsid w:val="00B02550"/>
    <w:rsid w:val="00B0362A"/>
    <w:rsid w:val="00B12101"/>
    <w:rsid w:val="00B14D18"/>
    <w:rsid w:val="00B27B26"/>
    <w:rsid w:val="00B30F53"/>
    <w:rsid w:val="00B321E1"/>
    <w:rsid w:val="00B33255"/>
    <w:rsid w:val="00B3726C"/>
    <w:rsid w:val="00B45CD3"/>
    <w:rsid w:val="00B464AF"/>
    <w:rsid w:val="00B469A0"/>
    <w:rsid w:val="00B47C9F"/>
    <w:rsid w:val="00B532ED"/>
    <w:rsid w:val="00B54F38"/>
    <w:rsid w:val="00B558CA"/>
    <w:rsid w:val="00B572E0"/>
    <w:rsid w:val="00B64BE1"/>
    <w:rsid w:val="00B6684D"/>
    <w:rsid w:val="00B71CAB"/>
    <w:rsid w:val="00B757C6"/>
    <w:rsid w:val="00B812DD"/>
    <w:rsid w:val="00B81463"/>
    <w:rsid w:val="00B815B9"/>
    <w:rsid w:val="00B81BE4"/>
    <w:rsid w:val="00B85E37"/>
    <w:rsid w:val="00B8786D"/>
    <w:rsid w:val="00B953BE"/>
    <w:rsid w:val="00B9762A"/>
    <w:rsid w:val="00B977B9"/>
    <w:rsid w:val="00B97C3B"/>
    <w:rsid w:val="00BA2ACC"/>
    <w:rsid w:val="00BB2EF7"/>
    <w:rsid w:val="00BB2F8F"/>
    <w:rsid w:val="00BB3682"/>
    <w:rsid w:val="00BB557F"/>
    <w:rsid w:val="00BB6233"/>
    <w:rsid w:val="00BB7330"/>
    <w:rsid w:val="00BC19A8"/>
    <w:rsid w:val="00BC20B4"/>
    <w:rsid w:val="00BC4989"/>
    <w:rsid w:val="00BC72ED"/>
    <w:rsid w:val="00BD750C"/>
    <w:rsid w:val="00BE07CF"/>
    <w:rsid w:val="00BE3A85"/>
    <w:rsid w:val="00BF37A2"/>
    <w:rsid w:val="00BF6EAE"/>
    <w:rsid w:val="00C00776"/>
    <w:rsid w:val="00C03ED7"/>
    <w:rsid w:val="00C06643"/>
    <w:rsid w:val="00C10DE3"/>
    <w:rsid w:val="00C12402"/>
    <w:rsid w:val="00C1398D"/>
    <w:rsid w:val="00C14B1D"/>
    <w:rsid w:val="00C14E97"/>
    <w:rsid w:val="00C15206"/>
    <w:rsid w:val="00C23FDC"/>
    <w:rsid w:val="00C26877"/>
    <w:rsid w:val="00C26C7A"/>
    <w:rsid w:val="00C30E61"/>
    <w:rsid w:val="00C36628"/>
    <w:rsid w:val="00C413AE"/>
    <w:rsid w:val="00C420F0"/>
    <w:rsid w:val="00C42EA1"/>
    <w:rsid w:val="00C51106"/>
    <w:rsid w:val="00C60E74"/>
    <w:rsid w:val="00C668E8"/>
    <w:rsid w:val="00C71104"/>
    <w:rsid w:val="00C734EA"/>
    <w:rsid w:val="00C8219F"/>
    <w:rsid w:val="00C8413B"/>
    <w:rsid w:val="00C84660"/>
    <w:rsid w:val="00C850E7"/>
    <w:rsid w:val="00C923D3"/>
    <w:rsid w:val="00CA11C8"/>
    <w:rsid w:val="00CA22D8"/>
    <w:rsid w:val="00CA2D57"/>
    <w:rsid w:val="00CA4E1E"/>
    <w:rsid w:val="00CA7735"/>
    <w:rsid w:val="00CB015F"/>
    <w:rsid w:val="00CB168E"/>
    <w:rsid w:val="00CB2513"/>
    <w:rsid w:val="00CC0858"/>
    <w:rsid w:val="00CC5030"/>
    <w:rsid w:val="00CD0E54"/>
    <w:rsid w:val="00CD167B"/>
    <w:rsid w:val="00CD2D37"/>
    <w:rsid w:val="00CE4419"/>
    <w:rsid w:val="00CE44D5"/>
    <w:rsid w:val="00CE5F9D"/>
    <w:rsid w:val="00CE6CB7"/>
    <w:rsid w:val="00CF0A8A"/>
    <w:rsid w:val="00CF25A7"/>
    <w:rsid w:val="00CF76CC"/>
    <w:rsid w:val="00D008FA"/>
    <w:rsid w:val="00D12146"/>
    <w:rsid w:val="00D121BC"/>
    <w:rsid w:val="00D16405"/>
    <w:rsid w:val="00D27CF7"/>
    <w:rsid w:val="00D320F0"/>
    <w:rsid w:val="00D339C9"/>
    <w:rsid w:val="00D33D19"/>
    <w:rsid w:val="00D3744C"/>
    <w:rsid w:val="00D42228"/>
    <w:rsid w:val="00D4272B"/>
    <w:rsid w:val="00D4312A"/>
    <w:rsid w:val="00D46118"/>
    <w:rsid w:val="00D64773"/>
    <w:rsid w:val="00D6478C"/>
    <w:rsid w:val="00D65AA5"/>
    <w:rsid w:val="00D72414"/>
    <w:rsid w:val="00D724CB"/>
    <w:rsid w:val="00D7288A"/>
    <w:rsid w:val="00D7495B"/>
    <w:rsid w:val="00D762C2"/>
    <w:rsid w:val="00D81864"/>
    <w:rsid w:val="00D82E0B"/>
    <w:rsid w:val="00D83364"/>
    <w:rsid w:val="00D85613"/>
    <w:rsid w:val="00D8681C"/>
    <w:rsid w:val="00D8758F"/>
    <w:rsid w:val="00D92475"/>
    <w:rsid w:val="00D92EC3"/>
    <w:rsid w:val="00D95238"/>
    <w:rsid w:val="00D971E9"/>
    <w:rsid w:val="00DA441E"/>
    <w:rsid w:val="00DB07E8"/>
    <w:rsid w:val="00DB09FF"/>
    <w:rsid w:val="00DB174A"/>
    <w:rsid w:val="00DB496A"/>
    <w:rsid w:val="00DB546E"/>
    <w:rsid w:val="00DC3415"/>
    <w:rsid w:val="00DC7FF0"/>
    <w:rsid w:val="00DD0F0E"/>
    <w:rsid w:val="00DD1DEF"/>
    <w:rsid w:val="00DD2576"/>
    <w:rsid w:val="00DD6AF4"/>
    <w:rsid w:val="00DE19F4"/>
    <w:rsid w:val="00DE2C35"/>
    <w:rsid w:val="00DE2F5E"/>
    <w:rsid w:val="00DE4A5F"/>
    <w:rsid w:val="00DF0E1B"/>
    <w:rsid w:val="00DF5E1E"/>
    <w:rsid w:val="00E00993"/>
    <w:rsid w:val="00E034F6"/>
    <w:rsid w:val="00E047AC"/>
    <w:rsid w:val="00E058C3"/>
    <w:rsid w:val="00E05EAA"/>
    <w:rsid w:val="00E06D86"/>
    <w:rsid w:val="00E11C9C"/>
    <w:rsid w:val="00E12264"/>
    <w:rsid w:val="00E14689"/>
    <w:rsid w:val="00E2001B"/>
    <w:rsid w:val="00E238FA"/>
    <w:rsid w:val="00E25787"/>
    <w:rsid w:val="00E273FB"/>
    <w:rsid w:val="00E301BD"/>
    <w:rsid w:val="00E31C79"/>
    <w:rsid w:val="00E34B2F"/>
    <w:rsid w:val="00E36A79"/>
    <w:rsid w:val="00E41201"/>
    <w:rsid w:val="00E42AB5"/>
    <w:rsid w:val="00E43343"/>
    <w:rsid w:val="00E4423E"/>
    <w:rsid w:val="00E52ACC"/>
    <w:rsid w:val="00E626B7"/>
    <w:rsid w:val="00E701F5"/>
    <w:rsid w:val="00E72B11"/>
    <w:rsid w:val="00E76F92"/>
    <w:rsid w:val="00E81D5D"/>
    <w:rsid w:val="00E841EF"/>
    <w:rsid w:val="00E853C5"/>
    <w:rsid w:val="00E85775"/>
    <w:rsid w:val="00E87FA2"/>
    <w:rsid w:val="00E94F9E"/>
    <w:rsid w:val="00E95E9C"/>
    <w:rsid w:val="00EA027C"/>
    <w:rsid w:val="00EA379A"/>
    <w:rsid w:val="00EA3B5F"/>
    <w:rsid w:val="00EA533A"/>
    <w:rsid w:val="00EA6445"/>
    <w:rsid w:val="00EB41F6"/>
    <w:rsid w:val="00EB46BE"/>
    <w:rsid w:val="00EB6C56"/>
    <w:rsid w:val="00EB71C2"/>
    <w:rsid w:val="00EB7B37"/>
    <w:rsid w:val="00EC019C"/>
    <w:rsid w:val="00EC4DD6"/>
    <w:rsid w:val="00EC665B"/>
    <w:rsid w:val="00EC7082"/>
    <w:rsid w:val="00EC7B30"/>
    <w:rsid w:val="00ED52ED"/>
    <w:rsid w:val="00ED7251"/>
    <w:rsid w:val="00EE1226"/>
    <w:rsid w:val="00EE5386"/>
    <w:rsid w:val="00EE62C7"/>
    <w:rsid w:val="00EE6608"/>
    <w:rsid w:val="00EE6AA1"/>
    <w:rsid w:val="00EF3DD8"/>
    <w:rsid w:val="00F020D4"/>
    <w:rsid w:val="00F03A5D"/>
    <w:rsid w:val="00F0589D"/>
    <w:rsid w:val="00F1113F"/>
    <w:rsid w:val="00F11634"/>
    <w:rsid w:val="00F11765"/>
    <w:rsid w:val="00F11DAE"/>
    <w:rsid w:val="00F155B8"/>
    <w:rsid w:val="00F15A5C"/>
    <w:rsid w:val="00F16C03"/>
    <w:rsid w:val="00F221E9"/>
    <w:rsid w:val="00F24B7A"/>
    <w:rsid w:val="00F25F87"/>
    <w:rsid w:val="00F30306"/>
    <w:rsid w:val="00F30679"/>
    <w:rsid w:val="00F3101B"/>
    <w:rsid w:val="00F32958"/>
    <w:rsid w:val="00F34C44"/>
    <w:rsid w:val="00F35E84"/>
    <w:rsid w:val="00F36290"/>
    <w:rsid w:val="00F365B7"/>
    <w:rsid w:val="00F37139"/>
    <w:rsid w:val="00F42246"/>
    <w:rsid w:val="00F44001"/>
    <w:rsid w:val="00F469C9"/>
    <w:rsid w:val="00F51188"/>
    <w:rsid w:val="00F5263A"/>
    <w:rsid w:val="00F5379B"/>
    <w:rsid w:val="00F53F86"/>
    <w:rsid w:val="00F56978"/>
    <w:rsid w:val="00F56D9F"/>
    <w:rsid w:val="00F60585"/>
    <w:rsid w:val="00F61DBF"/>
    <w:rsid w:val="00F635F5"/>
    <w:rsid w:val="00F6555A"/>
    <w:rsid w:val="00F664FA"/>
    <w:rsid w:val="00F67FFD"/>
    <w:rsid w:val="00F73F66"/>
    <w:rsid w:val="00F8160B"/>
    <w:rsid w:val="00F91F5E"/>
    <w:rsid w:val="00F9474E"/>
    <w:rsid w:val="00F96659"/>
    <w:rsid w:val="00F96D1D"/>
    <w:rsid w:val="00FA2BFF"/>
    <w:rsid w:val="00FA4F2E"/>
    <w:rsid w:val="00FA63A8"/>
    <w:rsid w:val="00FB23EE"/>
    <w:rsid w:val="00FB5CA7"/>
    <w:rsid w:val="00FC6988"/>
    <w:rsid w:val="00FD552E"/>
    <w:rsid w:val="00FF0527"/>
    <w:rsid w:val="00FF09E0"/>
    <w:rsid w:val="00FF182E"/>
    <w:rsid w:val="00FF1925"/>
    <w:rsid w:val="00FF3A29"/>
    <w:rsid w:val="0590BFB8"/>
    <w:rsid w:val="09F5F920"/>
    <w:rsid w:val="0A5ADD65"/>
    <w:rsid w:val="0D41E2AA"/>
    <w:rsid w:val="0D75521F"/>
    <w:rsid w:val="0E93B3C4"/>
    <w:rsid w:val="173BE938"/>
    <w:rsid w:val="20B14563"/>
    <w:rsid w:val="23C873C7"/>
    <w:rsid w:val="2A8198D3"/>
    <w:rsid w:val="2A8657B4"/>
    <w:rsid w:val="332C9E5F"/>
    <w:rsid w:val="344C59F9"/>
    <w:rsid w:val="361422B1"/>
    <w:rsid w:val="3C0F44B5"/>
    <w:rsid w:val="4C0BC715"/>
    <w:rsid w:val="547AD3FA"/>
    <w:rsid w:val="5703EA17"/>
    <w:rsid w:val="5D2A51E6"/>
    <w:rsid w:val="5F40244E"/>
    <w:rsid w:val="73AD60C0"/>
    <w:rsid w:val="748C8C99"/>
    <w:rsid w:val="754AFFDD"/>
    <w:rsid w:val="7D34DE0C"/>
    <w:rsid w:val="7E0E941D"/>
    <w:rsid w:val="7F67F2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F3C5"/>
  <w15:docId w15:val="{545F1CA2-9EBD-458D-9AD7-7474F74D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52001"/>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EE6AA1"/>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unhideWhenUsed/>
    <w:qFormat/>
    <w:rsid w:val="003F388D"/>
    <w:pPr>
      <w:keepNext/>
      <w:keepLines/>
      <w:spacing w:before="40" w:after="0"/>
      <w:outlineLvl w:val="2"/>
    </w:pPr>
    <w:rPr>
      <w:rFonts w:asciiTheme="majorHAnsi" w:eastAsiaTheme="majorEastAsia" w:hAnsiTheme="majorHAnsi" w:cstheme="majorBidi"/>
      <w:color w:val="294E1C" w:themeColor="accent1" w:themeShade="7F"/>
      <w:sz w:val="24"/>
      <w:szCs w:val="24"/>
    </w:rPr>
  </w:style>
  <w:style w:type="paragraph" w:styleId="Heading4">
    <w:name w:val="heading 4"/>
    <w:basedOn w:val="Normal"/>
    <w:next w:val="Normal"/>
    <w:link w:val="Heading4Char"/>
    <w:uiPriority w:val="9"/>
    <w:unhideWhenUsed/>
    <w:qFormat/>
    <w:rsid w:val="00DB496A"/>
    <w:pPr>
      <w:keepNext/>
      <w:keepLines/>
      <w:spacing w:before="40" w:after="0"/>
      <w:outlineLvl w:val="3"/>
    </w:pPr>
    <w:rPr>
      <w:rFonts w:asciiTheme="majorHAnsi" w:eastAsiaTheme="majorEastAsia" w:hAnsiTheme="majorHAnsi" w:cstheme="majorBidi"/>
      <w:i/>
      <w:iCs/>
      <w:color w:val="3E762A" w:themeColor="accent1" w:themeShade="BF"/>
    </w:rPr>
  </w:style>
  <w:style w:type="paragraph" w:styleId="Heading5">
    <w:name w:val="heading 5"/>
    <w:basedOn w:val="Normal"/>
    <w:next w:val="Normal"/>
    <w:link w:val="Heading5Char"/>
    <w:uiPriority w:val="9"/>
    <w:unhideWhenUsed/>
    <w:qFormat/>
    <w:rsid w:val="00475AF3"/>
    <w:pPr>
      <w:keepNext/>
      <w:keepLines/>
      <w:spacing w:before="40" w:after="0"/>
      <w:outlineLvl w:val="4"/>
    </w:pPr>
    <w:rPr>
      <w:rFonts w:asciiTheme="majorHAnsi" w:eastAsiaTheme="majorEastAsia" w:hAnsiTheme="majorHAnsi" w:cstheme="majorBidi"/>
      <w:color w:val="3E76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7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2763"/>
  </w:style>
  <w:style w:type="paragraph" w:styleId="Footer">
    <w:name w:val="footer"/>
    <w:basedOn w:val="Normal"/>
    <w:link w:val="FooterChar"/>
    <w:uiPriority w:val="99"/>
    <w:unhideWhenUsed/>
    <w:rsid w:val="00A027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2763"/>
  </w:style>
  <w:style w:type="paragraph" w:styleId="ListParagraph">
    <w:name w:val="List Paragraph"/>
    <w:basedOn w:val="Normal"/>
    <w:uiPriority w:val="34"/>
    <w:qFormat/>
    <w:rsid w:val="00026C5F"/>
    <w:pPr>
      <w:ind w:left="720"/>
      <w:contextualSpacing/>
    </w:pPr>
  </w:style>
  <w:style w:type="character" w:styleId="Strong">
    <w:name w:val="Strong"/>
    <w:basedOn w:val="DefaultParagraphFont"/>
    <w:uiPriority w:val="22"/>
    <w:qFormat/>
    <w:rsid w:val="00026C5F"/>
    <w:rPr>
      <w:b/>
      <w:bCs/>
    </w:rPr>
  </w:style>
  <w:style w:type="table" w:styleId="TableGrid">
    <w:name w:val="Table Grid"/>
    <w:basedOn w:val="TableNormal"/>
    <w:uiPriority w:val="59"/>
    <w:rsid w:val="00977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1247"/>
    <w:rPr>
      <w:color w:val="6B9F25" w:themeColor="hyperlink"/>
      <w:u w:val="single"/>
    </w:rPr>
  </w:style>
  <w:style w:type="character" w:styleId="FollowedHyperlink">
    <w:name w:val="FollowedHyperlink"/>
    <w:basedOn w:val="DefaultParagraphFont"/>
    <w:uiPriority w:val="99"/>
    <w:semiHidden/>
    <w:unhideWhenUsed/>
    <w:rsid w:val="002D1101"/>
    <w:rPr>
      <w:color w:val="BA6906" w:themeColor="followedHyperlink"/>
      <w:u w:val="single"/>
    </w:rPr>
  </w:style>
  <w:style w:type="character" w:customStyle="1" w:styleId="Heading2Char">
    <w:name w:val="Heading 2 Char"/>
    <w:basedOn w:val="DefaultParagraphFont"/>
    <w:link w:val="Heading2"/>
    <w:uiPriority w:val="9"/>
    <w:rsid w:val="00EE6AA1"/>
    <w:rPr>
      <w:rFonts w:asciiTheme="majorHAnsi" w:eastAsiaTheme="majorEastAsia" w:hAnsiTheme="majorHAnsi" w:cstheme="majorBidi"/>
      <w:color w:val="3E762A" w:themeColor="accent1" w:themeShade="BF"/>
      <w:sz w:val="26"/>
      <w:szCs w:val="26"/>
      <w:lang w:val="en-GB"/>
    </w:rPr>
  </w:style>
  <w:style w:type="character" w:customStyle="1" w:styleId="Heading3Char">
    <w:name w:val="Heading 3 Char"/>
    <w:basedOn w:val="DefaultParagraphFont"/>
    <w:link w:val="Heading3"/>
    <w:uiPriority w:val="9"/>
    <w:rsid w:val="003F388D"/>
    <w:rPr>
      <w:rFonts w:asciiTheme="majorHAnsi" w:eastAsiaTheme="majorEastAsia" w:hAnsiTheme="majorHAnsi" w:cstheme="majorBidi"/>
      <w:color w:val="294E1C" w:themeColor="accent1" w:themeShade="7F"/>
      <w:sz w:val="24"/>
      <w:szCs w:val="24"/>
      <w:lang w:val="en-GB"/>
    </w:rPr>
  </w:style>
  <w:style w:type="character" w:customStyle="1" w:styleId="Heading4Char">
    <w:name w:val="Heading 4 Char"/>
    <w:basedOn w:val="DefaultParagraphFont"/>
    <w:link w:val="Heading4"/>
    <w:uiPriority w:val="9"/>
    <w:rsid w:val="00DB496A"/>
    <w:rPr>
      <w:rFonts w:asciiTheme="majorHAnsi" w:eastAsiaTheme="majorEastAsia" w:hAnsiTheme="majorHAnsi" w:cstheme="majorBidi"/>
      <w:i/>
      <w:iCs/>
      <w:color w:val="3E762A" w:themeColor="accent1" w:themeShade="BF"/>
      <w:lang w:val="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C5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A32"/>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8C5A32"/>
    <w:rPr>
      <w:b/>
      <w:bCs/>
    </w:rPr>
  </w:style>
  <w:style w:type="character" w:customStyle="1" w:styleId="CommentSubjectChar">
    <w:name w:val="Comment Subject Char"/>
    <w:basedOn w:val="CommentTextChar"/>
    <w:link w:val="CommentSubject"/>
    <w:uiPriority w:val="99"/>
    <w:semiHidden/>
    <w:rsid w:val="008C5A32"/>
    <w:rPr>
      <w:b/>
      <w:bCs/>
      <w:sz w:val="20"/>
      <w:szCs w:val="20"/>
      <w:lang w:val="en-GB"/>
    </w:rPr>
  </w:style>
  <w:style w:type="character" w:customStyle="1" w:styleId="Heading1Char">
    <w:name w:val="Heading 1 Char"/>
    <w:basedOn w:val="DefaultParagraphFont"/>
    <w:link w:val="Heading1"/>
    <w:uiPriority w:val="9"/>
    <w:rsid w:val="00752001"/>
    <w:rPr>
      <w:rFonts w:asciiTheme="majorHAnsi" w:eastAsiaTheme="majorEastAsia" w:hAnsiTheme="majorHAnsi" w:cstheme="majorBidi"/>
      <w:color w:val="3E762A" w:themeColor="accent1" w:themeShade="BF"/>
      <w:sz w:val="32"/>
      <w:szCs w:val="32"/>
      <w:lang w:val="en-GB"/>
    </w:rPr>
  </w:style>
  <w:style w:type="paragraph" w:styleId="NoSpacing">
    <w:name w:val="No Spacing"/>
    <w:uiPriority w:val="1"/>
    <w:qFormat/>
    <w:rsid w:val="00B47C9F"/>
    <w:pPr>
      <w:spacing w:after="0" w:line="240" w:lineRule="auto"/>
    </w:pPr>
    <w:rPr>
      <w:rFonts w:ascii="Franklin Gothic Book" w:eastAsia="Times New Roman" w:hAnsi="Franklin Gothic Book" w:cs="Times New Roman"/>
      <w:color w:val="000000"/>
      <w:sz w:val="18"/>
      <w:szCs w:val="18"/>
      <w:lang w:val="en-GB" w:eastAsia="nb-NO"/>
    </w:rPr>
  </w:style>
  <w:style w:type="paragraph" w:styleId="BodyText">
    <w:name w:val="Body Text"/>
    <w:basedOn w:val="Normal"/>
    <w:next w:val="BodyTextIndent"/>
    <w:link w:val="BodyTextChar"/>
    <w:uiPriority w:val="1"/>
    <w:qFormat/>
    <w:rsid w:val="006F36FA"/>
    <w:pPr>
      <w:spacing w:after="0" w:line="264" w:lineRule="auto"/>
    </w:pPr>
    <w:rPr>
      <w:rFonts w:ascii="Times New Roman" w:eastAsia="Times New Roman" w:hAnsi="Times New Roman" w:cs="Times New Roman"/>
      <w:szCs w:val="24"/>
      <w:lang w:val="nb-NO" w:eastAsia="en-US"/>
    </w:rPr>
  </w:style>
  <w:style w:type="character" w:customStyle="1" w:styleId="BodyTextChar">
    <w:name w:val="Body Text Char"/>
    <w:basedOn w:val="DefaultParagraphFont"/>
    <w:link w:val="BodyText"/>
    <w:uiPriority w:val="1"/>
    <w:rsid w:val="006F36FA"/>
    <w:rPr>
      <w:rFonts w:ascii="Times New Roman" w:eastAsia="Times New Roman" w:hAnsi="Times New Roman" w:cs="Times New Roman"/>
      <w:szCs w:val="24"/>
      <w:lang w:val="nb-NO" w:eastAsia="en-US"/>
    </w:rPr>
  </w:style>
  <w:style w:type="paragraph" w:styleId="BodyTextIndent">
    <w:name w:val="Body Text Indent"/>
    <w:basedOn w:val="Normal"/>
    <w:link w:val="BodyTextIndentChar"/>
    <w:uiPriority w:val="99"/>
    <w:unhideWhenUsed/>
    <w:rsid w:val="006F36FA"/>
    <w:pPr>
      <w:spacing w:after="120"/>
      <w:ind w:left="283"/>
    </w:pPr>
  </w:style>
  <w:style w:type="character" w:customStyle="1" w:styleId="BodyTextIndentChar">
    <w:name w:val="Body Text Indent Char"/>
    <w:basedOn w:val="DefaultParagraphFont"/>
    <w:link w:val="BodyTextIndent"/>
    <w:uiPriority w:val="99"/>
    <w:rsid w:val="006F36FA"/>
    <w:rPr>
      <w:lang w:val="en-GB"/>
    </w:rPr>
  </w:style>
  <w:style w:type="paragraph" w:styleId="Title">
    <w:name w:val="Title"/>
    <w:basedOn w:val="Normal"/>
    <w:next w:val="Normal"/>
    <w:link w:val="TitleChar"/>
    <w:uiPriority w:val="10"/>
    <w:qFormat/>
    <w:rsid w:val="00816A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ABF"/>
    <w:rPr>
      <w:rFonts w:asciiTheme="majorHAnsi" w:eastAsiaTheme="majorEastAsia" w:hAnsiTheme="majorHAnsi" w:cstheme="majorBidi"/>
      <w:spacing w:val="-10"/>
      <w:kern w:val="28"/>
      <w:sz w:val="56"/>
      <w:szCs w:val="56"/>
      <w:lang w:val="en-GB"/>
    </w:rPr>
  </w:style>
  <w:style w:type="character" w:styleId="IntenseEmphasis">
    <w:name w:val="Intense Emphasis"/>
    <w:basedOn w:val="DefaultParagraphFont"/>
    <w:uiPriority w:val="21"/>
    <w:qFormat/>
    <w:rsid w:val="00816ABF"/>
    <w:rPr>
      <w:i/>
      <w:iCs/>
      <w:color w:val="549E39" w:themeColor="accent1"/>
    </w:rPr>
  </w:style>
  <w:style w:type="paragraph" w:styleId="Revision">
    <w:name w:val="Revision"/>
    <w:hidden/>
    <w:uiPriority w:val="99"/>
    <w:semiHidden/>
    <w:rsid w:val="00C00776"/>
    <w:pPr>
      <w:spacing w:after="0" w:line="240" w:lineRule="auto"/>
    </w:pPr>
    <w:rPr>
      <w:lang w:val="en-GB"/>
    </w:rPr>
  </w:style>
  <w:style w:type="character" w:customStyle="1" w:styleId="Heading5Char">
    <w:name w:val="Heading 5 Char"/>
    <w:basedOn w:val="DefaultParagraphFont"/>
    <w:link w:val="Heading5"/>
    <w:uiPriority w:val="9"/>
    <w:rsid w:val="00475AF3"/>
    <w:rPr>
      <w:rFonts w:asciiTheme="majorHAnsi" w:eastAsiaTheme="majorEastAsia" w:hAnsiTheme="majorHAnsi" w:cstheme="majorBidi"/>
      <w:color w:val="3E762A"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30204">
      <w:bodyDiv w:val="1"/>
      <w:marLeft w:val="0"/>
      <w:marRight w:val="0"/>
      <w:marTop w:val="0"/>
      <w:marBottom w:val="0"/>
      <w:divBdr>
        <w:top w:val="none" w:sz="0" w:space="0" w:color="auto"/>
        <w:left w:val="none" w:sz="0" w:space="0" w:color="auto"/>
        <w:bottom w:val="none" w:sz="0" w:space="0" w:color="auto"/>
        <w:right w:val="none" w:sz="0" w:space="0" w:color="auto"/>
      </w:divBdr>
    </w:div>
    <w:div w:id="361322207">
      <w:bodyDiv w:val="1"/>
      <w:marLeft w:val="0"/>
      <w:marRight w:val="0"/>
      <w:marTop w:val="0"/>
      <w:marBottom w:val="0"/>
      <w:divBdr>
        <w:top w:val="none" w:sz="0" w:space="0" w:color="auto"/>
        <w:left w:val="none" w:sz="0" w:space="0" w:color="auto"/>
        <w:bottom w:val="none" w:sz="0" w:space="0" w:color="auto"/>
        <w:right w:val="none" w:sz="0" w:space="0" w:color="auto"/>
      </w:divBdr>
    </w:div>
    <w:div w:id="433281115">
      <w:bodyDiv w:val="1"/>
      <w:marLeft w:val="0"/>
      <w:marRight w:val="0"/>
      <w:marTop w:val="0"/>
      <w:marBottom w:val="0"/>
      <w:divBdr>
        <w:top w:val="none" w:sz="0" w:space="0" w:color="auto"/>
        <w:left w:val="none" w:sz="0" w:space="0" w:color="auto"/>
        <w:bottom w:val="none" w:sz="0" w:space="0" w:color="auto"/>
        <w:right w:val="none" w:sz="0" w:space="0" w:color="auto"/>
      </w:divBdr>
    </w:div>
    <w:div w:id="823736312">
      <w:bodyDiv w:val="1"/>
      <w:marLeft w:val="0"/>
      <w:marRight w:val="0"/>
      <w:marTop w:val="0"/>
      <w:marBottom w:val="0"/>
      <w:divBdr>
        <w:top w:val="none" w:sz="0" w:space="0" w:color="auto"/>
        <w:left w:val="none" w:sz="0" w:space="0" w:color="auto"/>
        <w:bottom w:val="none" w:sz="0" w:space="0" w:color="auto"/>
        <w:right w:val="none" w:sz="0" w:space="0" w:color="auto"/>
      </w:divBdr>
    </w:div>
    <w:div w:id="873928864">
      <w:bodyDiv w:val="1"/>
      <w:marLeft w:val="0"/>
      <w:marRight w:val="0"/>
      <w:marTop w:val="0"/>
      <w:marBottom w:val="0"/>
      <w:divBdr>
        <w:top w:val="none" w:sz="0" w:space="0" w:color="auto"/>
        <w:left w:val="none" w:sz="0" w:space="0" w:color="auto"/>
        <w:bottom w:val="none" w:sz="0" w:space="0" w:color="auto"/>
        <w:right w:val="none" w:sz="0" w:space="0" w:color="auto"/>
      </w:divBdr>
      <w:divsChild>
        <w:div w:id="287861278">
          <w:marLeft w:val="0"/>
          <w:marRight w:val="0"/>
          <w:marTop w:val="0"/>
          <w:marBottom w:val="0"/>
          <w:divBdr>
            <w:top w:val="none" w:sz="0" w:space="0" w:color="auto"/>
            <w:left w:val="none" w:sz="0" w:space="0" w:color="auto"/>
            <w:bottom w:val="none" w:sz="0" w:space="0" w:color="auto"/>
            <w:right w:val="none" w:sz="0" w:space="0" w:color="auto"/>
          </w:divBdr>
          <w:divsChild>
            <w:div w:id="1321033505">
              <w:marLeft w:val="0"/>
              <w:marRight w:val="0"/>
              <w:marTop w:val="0"/>
              <w:marBottom w:val="0"/>
              <w:divBdr>
                <w:top w:val="none" w:sz="0" w:space="0" w:color="auto"/>
                <w:left w:val="none" w:sz="0" w:space="0" w:color="auto"/>
                <w:bottom w:val="none" w:sz="0" w:space="0" w:color="auto"/>
                <w:right w:val="none" w:sz="0" w:space="0" w:color="auto"/>
              </w:divBdr>
              <w:divsChild>
                <w:div w:id="712192049">
                  <w:marLeft w:val="0"/>
                  <w:marRight w:val="0"/>
                  <w:marTop w:val="0"/>
                  <w:marBottom w:val="0"/>
                  <w:divBdr>
                    <w:top w:val="none" w:sz="0" w:space="0" w:color="auto"/>
                    <w:left w:val="none" w:sz="0" w:space="0" w:color="auto"/>
                    <w:bottom w:val="none" w:sz="0" w:space="0" w:color="auto"/>
                    <w:right w:val="none" w:sz="0" w:space="0" w:color="auto"/>
                  </w:divBdr>
                  <w:divsChild>
                    <w:div w:id="94640778">
                      <w:marLeft w:val="0"/>
                      <w:marRight w:val="0"/>
                      <w:marTop w:val="0"/>
                      <w:marBottom w:val="0"/>
                      <w:divBdr>
                        <w:top w:val="none" w:sz="0" w:space="0" w:color="auto"/>
                        <w:left w:val="none" w:sz="0" w:space="0" w:color="auto"/>
                        <w:bottom w:val="none" w:sz="0" w:space="0" w:color="auto"/>
                        <w:right w:val="none" w:sz="0" w:space="0" w:color="auto"/>
                      </w:divBdr>
                      <w:divsChild>
                        <w:div w:id="341591605">
                          <w:marLeft w:val="0"/>
                          <w:marRight w:val="0"/>
                          <w:marTop w:val="0"/>
                          <w:marBottom w:val="0"/>
                          <w:divBdr>
                            <w:top w:val="none" w:sz="0" w:space="0" w:color="auto"/>
                            <w:left w:val="none" w:sz="0" w:space="0" w:color="auto"/>
                            <w:bottom w:val="none" w:sz="0" w:space="0" w:color="auto"/>
                            <w:right w:val="none" w:sz="0" w:space="0" w:color="auto"/>
                          </w:divBdr>
                          <w:divsChild>
                            <w:div w:id="5867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5438">
      <w:bodyDiv w:val="1"/>
      <w:marLeft w:val="0"/>
      <w:marRight w:val="0"/>
      <w:marTop w:val="0"/>
      <w:marBottom w:val="0"/>
      <w:divBdr>
        <w:top w:val="none" w:sz="0" w:space="0" w:color="auto"/>
        <w:left w:val="none" w:sz="0" w:space="0" w:color="auto"/>
        <w:bottom w:val="none" w:sz="0" w:space="0" w:color="auto"/>
        <w:right w:val="none" w:sz="0" w:space="0" w:color="auto"/>
      </w:divBdr>
      <w:divsChild>
        <w:div w:id="81684933">
          <w:marLeft w:val="0"/>
          <w:marRight w:val="0"/>
          <w:marTop w:val="0"/>
          <w:marBottom w:val="0"/>
          <w:divBdr>
            <w:top w:val="none" w:sz="0" w:space="0" w:color="auto"/>
            <w:left w:val="none" w:sz="0" w:space="0" w:color="auto"/>
            <w:bottom w:val="none" w:sz="0" w:space="0" w:color="auto"/>
            <w:right w:val="none" w:sz="0" w:space="0" w:color="auto"/>
          </w:divBdr>
          <w:divsChild>
            <w:div w:id="548149286">
              <w:marLeft w:val="0"/>
              <w:marRight w:val="0"/>
              <w:marTop w:val="0"/>
              <w:marBottom w:val="0"/>
              <w:divBdr>
                <w:top w:val="none" w:sz="0" w:space="0" w:color="auto"/>
                <w:left w:val="none" w:sz="0" w:space="0" w:color="auto"/>
                <w:bottom w:val="none" w:sz="0" w:space="0" w:color="auto"/>
                <w:right w:val="none" w:sz="0" w:space="0" w:color="auto"/>
              </w:divBdr>
            </w:div>
          </w:divsChild>
        </w:div>
        <w:div w:id="86579702">
          <w:marLeft w:val="0"/>
          <w:marRight w:val="0"/>
          <w:marTop w:val="0"/>
          <w:marBottom w:val="0"/>
          <w:divBdr>
            <w:top w:val="none" w:sz="0" w:space="0" w:color="auto"/>
            <w:left w:val="none" w:sz="0" w:space="0" w:color="auto"/>
            <w:bottom w:val="none" w:sz="0" w:space="0" w:color="auto"/>
            <w:right w:val="none" w:sz="0" w:space="0" w:color="auto"/>
          </w:divBdr>
          <w:divsChild>
            <w:div w:id="1054356520">
              <w:marLeft w:val="0"/>
              <w:marRight w:val="0"/>
              <w:marTop w:val="0"/>
              <w:marBottom w:val="0"/>
              <w:divBdr>
                <w:top w:val="none" w:sz="0" w:space="0" w:color="auto"/>
                <w:left w:val="none" w:sz="0" w:space="0" w:color="auto"/>
                <w:bottom w:val="none" w:sz="0" w:space="0" w:color="auto"/>
                <w:right w:val="none" w:sz="0" w:space="0" w:color="auto"/>
              </w:divBdr>
            </w:div>
          </w:divsChild>
        </w:div>
        <w:div w:id="425809817">
          <w:marLeft w:val="0"/>
          <w:marRight w:val="0"/>
          <w:marTop w:val="0"/>
          <w:marBottom w:val="0"/>
          <w:divBdr>
            <w:top w:val="none" w:sz="0" w:space="0" w:color="auto"/>
            <w:left w:val="none" w:sz="0" w:space="0" w:color="auto"/>
            <w:bottom w:val="none" w:sz="0" w:space="0" w:color="auto"/>
            <w:right w:val="none" w:sz="0" w:space="0" w:color="auto"/>
          </w:divBdr>
          <w:divsChild>
            <w:div w:id="322508422">
              <w:marLeft w:val="0"/>
              <w:marRight w:val="0"/>
              <w:marTop w:val="0"/>
              <w:marBottom w:val="0"/>
              <w:divBdr>
                <w:top w:val="none" w:sz="0" w:space="0" w:color="auto"/>
                <w:left w:val="none" w:sz="0" w:space="0" w:color="auto"/>
                <w:bottom w:val="none" w:sz="0" w:space="0" w:color="auto"/>
                <w:right w:val="none" w:sz="0" w:space="0" w:color="auto"/>
              </w:divBdr>
            </w:div>
          </w:divsChild>
        </w:div>
        <w:div w:id="720523285">
          <w:marLeft w:val="0"/>
          <w:marRight w:val="0"/>
          <w:marTop w:val="0"/>
          <w:marBottom w:val="0"/>
          <w:divBdr>
            <w:top w:val="none" w:sz="0" w:space="0" w:color="auto"/>
            <w:left w:val="none" w:sz="0" w:space="0" w:color="auto"/>
            <w:bottom w:val="none" w:sz="0" w:space="0" w:color="auto"/>
            <w:right w:val="none" w:sz="0" w:space="0" w:color="auto"/>
          </w:divBdr>
          <w:divsChild>
            <w:div w:id="2057001751">
              <w:marLeft w:val="0"/>
              <w:marRight w:val="0"/>
              <w:marTop w:val="0"/>
              <w:marBottom w:val="0"/>
              <w:divBdr>
                <w:top w:val="none" w:sz="0" w:space="0" w:color="auto"/>
                <w:left w:val="none" w:sz="0" w:space="0" w:color="auto"/>
                <w:bottom w:val="none" w:sz="0" w:space="0" w:color="auto"/>
                <w:right w:val="none" w:sz="0" w:space="0" w:color="auto"/>
              </w:divBdr>
            </w:div>
          </w:divsChild>
        </w:div>
        <w:div w:id="1197037438">
          <w:marLeft w:val="0"/>
          <w:marRight w:val="0"/>
          <w:marTop w:val="0"/>
          <w:marBottom w:val="0"/>
          <w:divBdr>
            <w:top w:val="none" w:sz="0" w:space="0" w:color="auto"/>
            <w:left w:val="none" w:sz="0" w:space="0" w:color="auto"/>
            <w:bottom w:val="none" w:sz="0" w:space="0" w:color="auto"/>
            <w:right w:val="none" w:sz="0" w:space="0" w:color="auto"/>
          </w:divBdr>
          <w:divsChild>
            <w:div w:id="1109856823">
              <w:marLeft w:val="0"/>
              <w:marRight w:val="0"/>
              <w:marTop w:val="0"/>
              <w:marBottom w:val="0"/>
              <w:divBdr>
                <w:top w:val="none" w:sz="0" w:space="0" w:color="auto"/>
                <w:left w:val="none" w:sz="0" w:space="0" w:color="auto"/>
                <w:bottom w:val="none" w:sz="0" w:space="0" w:color="auto"/>
                <w:right w:val="none" w:sz="0" w:space="0" w:color="auto"/>
              </w:divBdr>
            </w:div>
          </w:divsChild>
        </w:div>
        <w:div w:id="1267738031">
          <w:marLeft w:val="0"/>
          <w:marRight w:val="0"/>
          <w:marTop w:val="0"/>
          <w:marBottom w:val="0"/>
          <w:divBdr>
            <w:top w:val="none" w:sz="0" w:space="0" w:color="auto"/>
            <w:left w:val="none" w:sz="0" w:space="0" w:color="auto"/>
            <w:bottom w:val="none" w:sz="0" w:space="0" w:color="auto"/>
            <w:right w:val="none" w:sz="0" w:space="0" w:color="auto"/>
          </w:divBdr>
          <w:divsChild>
            <w:div w:id="333385457">
              <w:marLeft w:val="0"/>
              <w:marRight w:val="0"/>
              <w:marTop w:val="0"/>
              <w:marBottom w:val="0"/>
              <w:divBdr>
                <w:top w:val="none" w:sz="0" w:space="0" w:color="auto"/>
                <w:left w:val="none" w:sz="0" w:space="0" w:color="auto"/>
                <w:bottom w:val="none" w:sz="0" w:space="0" w:color="auto"/>
                <w:right w:val="none" w:sz="0" w:space="0" w:color="auto"/>
              </w:divBdr>
            </w:div>
          </w:divsChild>
        </w:div>
        <w:div w:id="1352494452">
          <w:marLeft w:val="0"/>
          <w:marRight w:val="0"/>
          <w:marTop w:val="0"/>
          <w:marBottom w:val="0"/>
          <w:divBdr>
            <w:top w:val="none" w:sz="0" w:space="0" w:color="auto"/>
            <w:left w:val="none" w:sz="0" w:space="0" w:color="auto"/>
            <w:bottom w:val="none" w:sz="0" w:space="0" w:color="auto"/>
            <w:right w:val="none" w:sz="0" w:space="0" w:color="auto"/>
          </w:divBdr>
          <w:divsChild>
            <w:div w:id="100492224">
              <w:marLeft w:val="0"/>
              <w:marRight w:val="0"/>
              <w:marTop w:val="0"/>
              <w:marBottom w:val="0"/>
              <w:divBdr>
                <w:top w:val="none" w:sz="0" w:space="0" w:color="auto"/>
                <w:left w:val="none" w:sz="0" w:space="0" w:color="auto"/>
                <w:bottom w:val="none" w:sz="0" w:space="0" w:color="auto"/>
                <w:right w:val="none" w:sz="0" w:space="0" w:color="auto"/>
              </w:divBdr>
            </w:div>
          </w:divsChild>
        </w:div>
        <w:div w:id="1429934004">
          <w:marLeft w:val="0"/>
          <w:marRight w:val="0"/>
          <w:marTop w:val="0"/>
          <w:marBottom w:val="0"/>
          <w:divBdr>
            <w:top w:val="none" w:sz="0" w:space="0" w:color="auto"/>
            <w:left w:val="none" w:sz="0" w:space="0" w:color="auto"/>
            <w:bottom w:val="none" w:sz="0" w:space="0" w:color="auto"/>
            <w:right w:val="none" w:sz="0" w:space="0" w:color="auto"/>
          </w:divBdr>
          <w:divsChild>
            <w:div w:id="1249580146">
              <w:marLeft w:val="0"/>
              <w:marRight w:val="0"/>
              <w:marTop w:val="0"/>
              <w:marBottom w:val="0"/>
              <w:divBdr>
                <w:top w:val="none" w:sz="0" w:space="0" w:color="auto"/>
                <w:left w:val="none" w:sz="0" w:space="0" w:color="auto"/>
                <w:bottom w:val="none" w:sz="0" w:space="0" w:color="auto"/>
                <w:right w:val="none" w:sz="0" w:space="0" w:color="auto"/>
              </w:divBdr>
            </w:div>
          </w:divsChild>
        </w:div>
        <w:div w:id="1454861448">
          <w:marLeft w:val="0"/>
          <w:marRight w:val="0"/>
          <w:marTop w:val="0"/>
          <w:marBottom w:val="0"/>
          <w:divBdr>
            <w:top w:val="none" w:sz="0" w:space="0" w:color="auto"/>
            <w:left w:val="none" w:sz="0" w:space="0" w:color="auto"/>
            <w:bottom w:val="none" w:sz="0" w:space="0" w:color="auto"/>
            <w:right w:val="none" w:sz="0" w:space="0" w:color="auto"/>
          </w:divBdr>
          <w:divsChild>
            <w:div w:id="623846895">
              <w:marLeft w:val="0"/>
              <w:marRight w:val="0"/>
              <w:marTop w:val="0"/>
              <w:marBottom w:val="0"/>
              <w:divBdr>
                <w:top w:val="none" w:sz="0" w:space="0" w:color="auto"/>
                <w:left w:val="none" w:sz="0" w:space="0" w:color="auto"/>
                <w:bottom w:val="none" w:sz="0" w:space="0" w:color="auto"/>
                <w:right w:val="none" w:sz="0" w:space="0" w:color="auto"/>
              </w:divBdr>
            </w:div>
          </w:divsChild>
        </w:div>
        <w:div w:id="2106151117">
          <w:marLeft w:val="0"/>
          <w:marRight w:val="0"/>
          <w:marTop w:val="0"/>
          <w:marBottom w:val="0"/>
          <w:divBdr>
            <w:top w:val="none" w:sz="0" w:space="0" w:color="auto"/>
            <w:left w:val="none" w:sz="0" w:space="0" w:color="auto"/>
            <w:bottom w:val="none" w:sz="0" w:space="0" w:color="auto"/>
            <w:right w:val="none" w:sz="0" w:space="0" w:color="auto"/>
          </w:divBdr>
          <w:divsChild>
            <w:div w:id="417021843">
              <w:marLeft w:val="0"/>
              <w:marRight w:val="0"/>
              <w:marTop w:val="0"/>
              <w:marBottom w:val="0"/>
              <w:divBdr>
                <w:top w:val="none" w:sz="0" w:space="0" w:color="auto"/>
                <w:left w:val="none" w:sz="0" w:space="0" w:color="auto"/>
                <w:bottom w:val="none" w:sz="0" w:space="0" w:color="auto"/>
                <w:right w:val="none" w:sz="0" w:space="0" w:color="auto"/>
              </w:divBdr>
            </w:div>
            <w:div w:id="958100674">
              <w:marLeft w:val="0"/>
              <w:marRight w:val="0"/>
              <w:marTop w:val="0"/>
              <w:marBottom w:val="0"/>
              <w:divBdr>
                <w:top w:val="none" w:sz="0" w:space="0" w:color="auto"/>
                <w:left w:val="none" w:sz="0" w:space="0" w:color="auto"/>
                <w:bottom w:val="none" w:sz="0" w:space="0" w:color="auto"/>
                <w:right w:val="none" w:sz="0" w:space="0" w:color="auto"/>
              </w:divBdr>
            </w:div>
            <w:div w:id="1574584744">
              <w:marLeft w:val="0"/>
              <w:marRight w:val="0"/>
              <w:marTop w:val="0"/>
              <w:marBottom w:val="0"/>
              <w:divBdr>
                <w:top w:val="none" w:sz="0" w:space="0" w:color="auto"/>
                <w:left w:val="none" w:sz="0" w:space="0" w:color="auto"/>
                <w:bottom w:val="none" w:sz="0" w:space="0" w:color="auto"/>
                <w:right w:val="none" w:sz="0" w:space="0" w:color="auto"/>
              </w:divBdr>
            </w:div>
            <w:div w:id="18274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4668">
      <w:bodyDiv w:val="1"/>
      <w:marLeft w:val="0"/>
      <w:marRight w:val="0"/>
      <w:marTop w:val="0"/>
      <w:marBottom w:val="0"/>
      <w:divBdr>
        <w:top w:val="none" w:sz="0" w:space="0" w:color="auto"/>
        <w:left w:val="none" w:sz="0" w:space="0" w:color="auto"/>
        <w:bottom w:val="none" w:sz="0" w:space="0" w:color="auto"/>
        <w:right w:val="none" w:sz="0" w:space="0" w:color="auto"/>
      </w:divBdr>
    </w:div>
    <w:div w:id="1133131638">
      <w:bodyDiv w:val="1"/>
      <w:marLeft w:val="0"/>
      <w:marRight w:val="0"/>
      <w:marTop w:val="0"/>
      <w:marBottom w:val="0"/>
      <w:divBdr>
        <w:top w:val="none" w:sz="0" w:space="0" w:color="auto"/>
        <w:left w:val="none" w:sz="0" w:space="0" w:color="auto"/>
        <w:bottom w:val="none" w:sz="0" w:space="0" w:color="auto"/>
        <w:right w:val="none" w:sz="0" w:space="0" w:color="auto"/>
      </w:divBdr>
    </w:div>
    <w:div w:id="1338508436">
      <w:bodyDiv w:val="1"/>
      <w:marLeft w:val="0"/>
      <w:marRight w:val="0"/>
      <w:marTop w:val="0"/>
      <w:marBottom w:val="0"/>
      <w:divBdr>
        <w:top w:val="none" w:sz="0" w:space="0" w:color="auto"/>
        <w:left w:val="none" w:sz="0" w:space="0" w:color="auto"/>
        <w:bottom w:val="none" w:sz="0" w:space="0" w:color="auto"/>
        <w:right w:val="none" w:sz="0" w:space="0" w:color="auto"/>
      </w:divBdr>
    </w:div>
    <w:div w:id="1428848303">
      <w:bodyDiv w:val="1"/>
      <w:marLeft w:val="0"/>
      <w:marRight w:val="0"/>
      <w:marTop w:val="0"/>
      <w:marBottom w:val="0"/>
      <w:divBdr>
        <w:top w:val="none" w:sz="0" w:space="0" w:color="auto"/>
        <w:left w:val="none" w:sz="0" w:space="0" w:color="auto"/>
        <w:bottom w:val="none" w:sz="0" w:space="0" w:color="auto"/>
        <w:right w:val="none" w:sz="0" w:space="0" w:color="auto"/>
      </w:divBdr>
    </w:div>
    <w:div w:id="1810200290">
      <w:bodyDiv w:val="1"/>
      <w:marLeft w:val="0"/>
      <w:marRight w:val="0"/>
      <w:marTop w:val="0"/>
      <w:marBottom w:val="0"/>
      <w:divBdr>
        <w:top w:val="none" w:sz="0" w:space="0" w:color="auto"/>
        <w:left w:val="none" w:sz="0" w:space="0" w:color="auto"/>
        <w:bottom w:val="none" w:sz="0" w:space="0" w:color="auto"/>
        <w:right w:val="none" w:sz="0" w:space="0" w:color="auto"/>
      </w:divBdr>
    </w:div>
    <w:div w:id="1843156512">
      <w:bodyDiv w:val="1"/>
      <w:marLeft w:val="0"/>
      <w:marRight w:val="0"/>
      <w:marTop w:val="0"/>
      <w:marBottom w:val="0"/>
      <w:divBdr>
        <w:top w:val="none" w:sz="0" w:space="0" w:color="auto"/>
        <w:left w:val="none" w:sz="0" w:space="0" w:color="auto"/>
        <w:bottom w:val="none" w:sz="0" w:space="0" w:color="auto"/>
        <w:right w:val="none" w:sz="0" w:space="0" w:color="auto"/>
      </w:divBdr>
      <w:divsChild>
        <w:div w:id="299917529">
          <w:marLeft w:val="0"/>
          <w:marRight w:val="0"/>
          <w:marTop w:val="0"/>
          <w:marBottom w:val="0"/>
          <w:divBdr>
            <w:top w:val="none" w:sz="0" w:space="0" w:color="auto"/>
            <w:left w:val="none" w:sz="0" w:space="0" w:color="auto"/>
            <w:bottom w:val="none" w:sz="0" w:space="0" w:color="auto"/>
            <w:right w:val="none" w:sz="0" w:space="0" w:color="auto"/>
          </w:divBdr>
          <w:divsChild>
            <w:div w:id="564222446">
              <w:marLeft w:val="0"/>
              <w:marRight w:val="0"/>
              <w:marTop w:val="0"/>
              <w:marBottom w:val="0"/>
              <w:divBdr>
                <w:top w:val="none" w:sz="0" w:space="0" w:color="auto"/>
                <w:left w:val="none" w:sz="0" w:space="0" w:color="auto"/>
                <w:bottom w:val="none" w:sz="0" w:space="0" w:color="auto"/>
                <w:right w:val="none" w:sz="0" w:space="0" w:color="auto"/>
              </w:divBdr>
            </w:div>
            <w:div w:id="1516965901">
              <w:marLeft w:val="0"/>
              <w:marRight w:val="0"/>
              <w:marTop w:val="0"/>
              <w:marBottom w:val="0"/>
              <w:divBdr>
                <w:top w:val="none" w:sz="0" w:space="0" w:color="auto"/>
                <w:left w:val="none" w:sz="0" w:space="0" w:color="auto"/>
                <w:bottom w:val="none" w:sz="0" w:space="0" w:color="auto"/>
                <w:right w:val="none" w:sz="0" w:space="0" w:color="auto"/>
              </w:divBdr>
            </w:div>
            <w:div w:id="1599172445">
              <w:marLeft w:val="0"/>
              <w:marRight w:val="0"/>
              <w:marTop w:val="0"/>
              <w:marBottom w:val="0"/>
              <w:divBdr>
                <w:top w:val="none" w:sz="0" w:space="0" w:color="auto"/>
                <w:left w:val="none" w:sz="0" w:space="0" w:color="auto"/>
                <w:bottom w:val="none" w:sz="0" w:space="0" w:color="auto"/>
                <w:right w:val="none" w:sz="0" w:space="0" w:color="auto"/>
              </w:divBdr>
            </w:div>
            <w:div w:id="1679649685">
              <w:marLeft w:val="0"/>
              <w:marRight w:val="0"/>
              <w:marTop w:val="0"/>
              <w:marBottom w:val="0"/>
              <w:divBdr>
                <w:top w:val="none" w:sz="0" w:space="0" w:color="auto"/>
                <w:left w:val="none" w:sz="0" w:space="0" w:color="auto"/>
                <w:bottom w:val="none" w:sz="0" w:space="0" w:color="auto"/>
                <w:right w:val="none" w:sz="0" w:space="0" w:color="auto"/>
              </w:divBdr>
            </w:div>
          </w:divsChild>
        </w:div>
        <w:div w:id="516844069">
          <w:marLeft w:val="0"/>
          <w:marRight w:val="0"/>
          <w:marTop w:val="0"/>
          <w:marBottom w:val="0"/>
          <w:divBdr>
            <w:top w:val="none" w:sz="0" w:space="0" w:color="auto"/>
            <w:left w:val="none" w:sz="0" w:space="0" w:color="auto"/>
            <w:bottom w:val="none" w:sz="0" w:space="0" w:color="auto"/>
            <w:right w:val="none" w:sz="0" w:space="0" w:color="auto"/>
          </w:divBdr>
          <w:divsChild>
            <w:div w:id="1193767998">
              <w:marLeft w:val="0"/>
              <w:marRight w:val="0"/>
              <w:marTop w:val="0"/>
              <w:marBottom w:val="0"/>
              <w:divBdr>
                <w:top w:val="none" w:sz="0" w:space="0" w:color="auto"/>
                <w:left w:val="none" w:sz="0" w:space="0" w:color="auto"/>
                <w:bottom w:val="none" w:sz="0" w:space="0" w:color="auto"/>
                <w:right w:val="none" w:sz="0" w:space="0" w:color="auto"/>
              </w:divBdr>
            </w:div>
          </w:divsChild>
        </w:div>
        <w:div w:id="521356542">
          <w:marLeft w:val="0"/>
          <w:marRight w:val="0"/>
          <w:marTop w:val="0"/>
          <w:marBottom w:val="0"/>
          <w:divBdr>
            <w:top w:val="none" w:sz="0" w:space="0" w:color="auto"/>
            <w:left w:val="none" w:sz="0" w:space="0" w:color="auto"/>
            <w:bottom w:val="none" w:sz="0" w:space="0" w:color="auto"/>
            <w:right w:val="none" w:sz="0" w:space="0" w:color="auto"/>
          </w:divBdr>
          <w:divsChild>
            <w:div w:id="49235426">
              <w:marLeft w:val="0"/>
              <w:marRight w:val="0"/>
              <w:marTop w:val="0"/>
              <w:marBottom w:val="0"/>
              <w:divBdr>
                <w:top w:val="none" w:sz="0" w:space="0" w:color="auto"/>
                <w:left w:val="none" w:sz="0" w:space="0" w:color="auto"/>
                <w:bottom w:val="none" w:sz="0" w:space="0" w:color="auto"/>
                <w:right w:val="none" w:sz="0" w:space="0" w:color="auto"/>
              </w:divBdr>
            </w:div>
          </w:divsChild>
        </w:div>
        <w:div w:id="666983388">
          <w:marLeft w:val="0"/>
          <w:marRight w:val="0"/>
          <w:marTop w:val="0"/>
          <w:marBottom w:val="0"/>
          <w:divBdr>
            <w:top w:val="none" w:sz="0" w:space="0" w:color="auto"/>
            <w:left w:val="none" w:sz="0" w:space="0" w:color="auto"/>
            <w:bottom w:val="none" w:sz="0" w:space="0" w:color="auto"/>
            <w:right w:val="none" w:sz="0" w:space="0" w:color="auto"/>
          </w:divBdr>
          <w:divsChild>
            <w:div w:id="1772777284">
              <w:marLeft w:val="0"/>
              <w:marRight w:val="0"/>
              <w:marTop w:val="0"/>
              <w:marBottom w:val="0"/>
              <w:divBdr>
                <w:top w:val="none" w:sz="0" w:space="0" w:color="auto"/>
                <w:left w:val="none" w:sz="0" w:space="0" w:color="auto"/>
                <w:bottom w:val="none" w:sz="0" w:space="0" w:color="auto"/>
                <w:right w:val="none" w:sz="0" w:space="0" w:color="auto"/>
              </w:divBdr>
            </w:div>
          </w:divsChild>
        </w:div>
        <w:div w:id="934557100">
          <w:marLeft w:val="0"/>
          <w:marRight w:val="0"/>
          <w:marTop w:val="0"/>
          <w:marBottom w:val="0"/>
          <w:divBdr>
            <w:top w:val="none" w:sz="0" w:space="0" w:color="auto"/>
            <w:left w:val="none" w:sz="0" w:space="0" w:color="auto"/>
            <w:bottom w:val="none" w:sz="0" w:space="0" w:color="auto"/>
            <w:right w:val="none" w:sz="0" w:space="0" w:color="auto"/>
          </w:divBdr>
          <w:divsChild>
            <w:div w:id="2084796299">
              <w:marLeft w:val="0"/>
              <w:marRight w:val="0"/>
              <w:marTop w:val="0"/>
              <w:marBottom w:val="0"/>
              <w:divBdr>
                <w:top w:val="none" w:sz="0" w:space="0" w:color="auto"/>
                <w:left w:val="none" w:sz="0" w:space="0" w:color="auto"/>
                <w:bottom w:val="none" w:sz="0" w:space="0" w:color="auto"/>
                <w:right w:val="none" w:sz="0" w:space="0" w:color="auto"/>
              </w:divBdr>
            </w:div>
          </w:divsChild>
        </w:div>
        <w:div w:id="1047611596">
          <w:marLeft w:val="0"/>
          <w:marRight w:val="0"/>
          <w:marTop w:val="0"/>
          <w:marBottom w:val="0"/>
          <w:divBdr>
            <w:top w:val="none" w:sz="0" w:space="0" w:color="auto"/>
            <w:left w:val="none" w:sz="0" w:space="0" w:color="auto"/>
            <w:bottom w:val="none" w:sz="0" w:space="0" w:color="auto"/>
            <w:right w:val="none" w:sz="0" w:space="0" w:color="auto"/>
          </w:divBdr>
          <w:divsChild>
            <w:div w:id="1076436979">
              <w:marLeft w:val="0"/>
              <w:marRight w:val="0"/>
              <w:marTop w:val="0"/>
              <w:marBottom w:val="0"/>
              <w:divBdr>
                <w:top w:val="none" w:sz="0" w:space="0" w:color="auto"/>
                <w:left w:val="none" w:sz="0" w:space="0" w:color="auto"/>
                <w:bottom w:val="none" w:sz="0" w:space="0" w:color="auto"/>
                <w:right w:val="none" w:sz="0" w:space="0" w:color="auto"/>
              </w:divBdr>
            </w:div>
          </w:divsChild>
        </w:div>
        <w:div w:id="1404765708">
          <w:marLeft w:val="0"/>
          <w:marRight w:val="0"/>
          <w:marTop w:val="0"/>
          <w:marBottom w:val="0"/>
          <w:divBdr>
            <w:top w:val="none" w:sz="0" w:space="0" w:color="auto"/>
            <w:left w:val="none" w:sz="0" w:space="0" w:color="auto"/>
            <w:bottom w:val="none" w:sz="0" w:space="0" w:color="auto"/>
            <w:right w:val="none" w:sz="0" w:space="0" w:color="auto"/>
          </w:divBdr>
          <w:divsChild>
            <w:div w:id="759177627">
              <w:marLeft w:val="0"/>
              <w:marRight w:val="0"/>
              <w:marTop w:val="0"/>
              <w:marBottom w:val="0"/>
              <w:divBdr>
                <w:top w:val="none" w:sz="0" w:space="0" w:color="auto"/>
                <w:left w:val="none" w:sz="0" w:space="0" w:color="auto"/>
                <w:bottom w:val="none" w:sz="0" w:space="0" w:color="auto"/>
                <w:right w:val="none" w:sz="0" w:space="0" w:color="auto"/>
              </w:divBdr>
            </w:div>
          </w:divsChild>
        </w:div>
        <w:div w:id="1831289325">
          <w:marLeft w:val="0"/>
          <w:marRight w:val="0"/>
          <w:marTop w:val="0"/>
          <w:marBottom w:val="0"/>
          <w:divBdr>
            <w:top w:val="none" w:sz="0" w:space="0" w:color="auto"/>
            <w:left w:val="none" w:sz="0" w:space="0" w:color="auto"/>
            <w:bottom w:val="none" w:sz="0" w:space="0" w:color="auto"/>
            <w:right w:val="none" w:sz="0" w:space="0" w:color="auto"/>
          </w:divBdr>
          <w:divsChild>
            <w:div w:id="412699132">
              <w:marLeft w:val="0"/>
              <w:marRight w:val="0"/>
              <w:marTop w:val="0"/>
              <w:marBottom w:val="0"/>
              <w:divBdr>
                <w:top w:val="none" w:sz="0" w:space="0" w:color="auto"/>
                <w:left w:val="none" w:sz="0" w:space="0" w:color="auto"/>
                <w:bottom w:val="none" w:sz="0" w:space="0" w:color="auto"/>
                <w:right w:val="none" w:sz="0" w:space="0" w:color="auto"/>
              </w:divBdr>
            </w:div>
          </w:divsChild>
        </w:div>
        <w:div w:id="1882739217">
          <w:marLeft w:val="0"/>
          <w:marRight w:val="0"/>
          <w:marTop w:val="0"/>
          <w:marBottom w:val="0"/>
          <w:divBdr>
            <w:top w:val="none" w:sz="0" w:space="0" w:color="auto"/>
            <w:left w:val="none" w:sz="0" w:space="0" w:color="auto"/>
            <w:bottom w:val="none" w:sz="0" w:space="0" w:color="auto"/>
            <w:right w:val="none" w:sz="0" w:space="0" w:color="auto"/>
          </w:divBdr>
          <w:divsChild>
            <w:div w:id="1448089094">
              <w:marLeft w:val="0"/>
              <w:marRight w:val="0"/>
              <w:marTop w:val="0"/>
              <w:marBottom w:val="0"/>
              <w:divBdr>
                <w:top w:val="none" w:sz="0" w:space="0" w:color="auto"/>
                <w:left w:val="none" w:sz="0" w:space="0" w:color="auto"/>
                <w:bottom w:val="none" w:sz="0" w:space="0" w:color="auto"/>
                <w:right w:val="none" w:sz="0" w:space="0" w:color="auto"/>
              </w:divBdr>
            </w:div>
          </w:divsChild>
        </w:div>
        <w:div w:id="2041784225">
          <w:marLeft w:val="0"/>
          <w:marRight w:val="0"/>
          <w:marTop w:val="0"/>
          <w:marBottom w:val="0"/>
          <w:divBdr>
            <w:top w:val="none" w:sz="0" w:space="0" w:color="auto"/>
            <w:left w:val="none" w:sz="0" w:space="0" w:color="auto"/>
            <w:bottom w:val="none" w:sz="0" w:space="0" w:color="auto"/>
            <w:right w:val="none" w:sz="0" w:space="0" w:color="auto"/>
          </w:divBdr>
          <w:divsChild>
            <w:div w:id="12235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2071">
      <w:bodyDiv w:val="1"/>
      <w:marLeft w:val="0"/>
      <w:marRight w:val="0"/>
      <w:marTop w:val="0"/>
      <w:marBottom w:val="0"/>
      <w:divBdr>
        <w:top w:val="none" w:sz="0" w:space="0" w:color="auto"/>
        <w:left w:val="none" w:sz="0" w:space="0" w:color="auto"/>
        <w:bottom w:val="none" w:sz="0" w:space="0" w:color="auto"/>
        <w:right w:val="none" w:sz="0" w:space="0" w:color="auto"/>
      </w:divBdr>
    </w:div>
    <w:div w:id="203307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81087CD0265459F2AAF38AC017D60" ma:contentTypeVersion="4" ma:contentTypeDescription="Create a new document." ma:contentTypeScope="" ma:versionID="729b94deb04ec4596e091c771bf6d16a">
  <xsd:schema xmlns:xsd="http://www.w3.org/2001/XMLSchema" xmlns:xs="http://www.w3.org/2001/XMLSchema" xmlns:p="http://schemas.microsoft.com/office/2006/metadata/properties" xmlns:ns2="43ee7da7-7d13-4cd8-a289-c16667b78f57" targetNamespace="http://schemas.microsoft.com/office/2006/metadata/properties" ma:root="true" ma:fieldsID="ccdfb816232921fd5034f216b4cce187" ns2:_="">
    <xsd:import namespace="43ee7da7-7d13-4cd8-a289-c16667b78f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e7da7-7d13-4cd8-a289-c16667b78f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827E7-1A9A-4152-8CA2-FA52200F16C6}">
  <ds:schemaRefs>
    <ds:schemaRef ds:uri="http://schemas.microsoft.com/sharepoint/v3/contenttype/forms"/>
  </ds:schemaRefs>
</ds:datastoreItem>
</file>

<file path=customXml/itemProps2.xml><?xml version="1.0" encoding="utf-8"?>
<ds:datastoreItem xmlns:ds="http://schemas.openxmlformats.org/officeDocument/2006/customXml" ds:itemID="{3D073ECF-0F5E-4DFD-82DD-1565DFCD36AD}">
  <ds:schemaRefs>
    <ds:schemaRef ds:uri="http://schemas.openxmlformats.org/officeDocument/2006/bibliography"/>
  </ds:schemaRefs>
</ds:datastoreItem>
</file>

<file path=customXml/itemProps3.xml><?xml version="1.0" encoding="utf-8"?>
<ds:datastoreItem xmlns:ds="http://schemas.openxmlformats.org/officeDocument/2006/customXml" ds:itemID="{2E6CF1C5-CE90-4A9E-804B-AF2A2EC30BA5}">
  <ds:schemaRefs>
    <ds:schemaRef ds:uri="http://schemas.microsoft.com/office/infopath/2007/PartnerControls"/>
    <ds:schemaRef ds:uri="http://schemas.microsoft.com/office/2006/documentManagement/types"/>
    <ds:schemaRef ds:uri="http://www.w3.org/XML/1998/namespace"/>
    <ds:schemaRef ds:uri="43ee7da7-7d13-4cd8-a289-c16667b78f57"/>
    <ds:schemaRef ds:uri="http://schemas.microsoft.com/office/2006/metadata/properties"/>
    <ds:schemaRef ds:uri="http://purl.org/dc/dcmitype/"/>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DDE2B28C-EA19-475C-A7EB-A643924A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e7da7-7d13-4cd8-a289-c16667b78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3759</Words>
  <Characters>21430</Characters>
  <Application>Microsoft Office Word</Application>
  <DocSecurity>0</DocSecurity>
  <Lines>178</Lines>
  <Paragraphs>50</Paragraphs>
  <ScaleCrop>false</ScaleCrop>
  <Company>NPAID</Company>
  <LinksUpToDate>false</LinksUpToDate>
  <CharactersWithSpaces>25139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 Global ToR Evaluation Norad 2016-2018</dc:title>
  <dc:subject/>
  <dc:creator>Beate Thoresen;LeyKut648@npaid.org</dc:creator>
  <cp:keywords>Terms of reference; Evaluation</cp:keywords>
  <dc:description/>
  <cp:lastModifiedBy>Adalei Broers</cp:lastModifiedBy>
  <cp:revision>2</cp:revision>
  <cp:lastPrinted>2018-04-27T11:32:00Z</cp:lastPrinted>
  <dcterms:created xsi:type="dcterms:W3CDTF">2025-05-08T08:23:00Z</dcterms:created>
  <dcterms:modified xsi:type="dcterms:W3CDTF">2025-05-08T08:23:00Z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0x010100EC781087CD0265459F2AAF38AC017D60</vt:lpwstr>
  </property>
  <property fmtid="{D5CDD505-2E9C-101B-9397-08002B2CF9AE}" pid="3" name="Donor">
    <vt:lpwstr/>
  </property>
  <property fmtid="{D5CDD505-2E9C-101B-9397-08002B2CF9AE}" pid="4" name="Global Term">
    <vt:lpwstr>1;#Development|af2eb1db-5c7a-4f47-b2ea-811235ca12fd</vt:lpwstr>
  </property>
  <property fmtid="{D5CDD505-2E9C-101B-9397-08002B2CF9AE}" pid="5" name="TaxKeyword">
    <vt:lpwstr>131;#Terms of reference|f802dbf8-c568-456b-b2ba-612cab33b48c;#671;#Evaluation|ad7b71f1-2875-4946-bdc0-cce6519d9d51</vt:lpwstr>
  </property>
  <property fmtid="{D5CDD505-2E9C-101B-9397-08002B2CF9AE}" pid="6" name="Development">
    <vt:lpwstr>75;#Monitoring and evaluation|a4adfb78-ccd9-4686-a166-4d7529dbdb9b</vt:lpwstr>
  </property>
  <property fmtid="{D5CDD505-2E9C-101B-9397-08002B2CF9AE}" pid="7" name="Document Type">
    <vt:lpwstr>72;#Evaluations|c244b72c-1ddb-4992-8b78-8638912b662f;#2195;#Templates|ade06233-cea9-465c-bd6f-a6cf3c4f1011;#182;#ToR|a1013e8f-6772-46d4-a94d-e8cb84b9a0db</vt:lpwstr>
  </property>
  <property fmtid="{D5CDD505-2E9C-101B-9397-08002B2CF9AE}" pid="8" name="Country">
    <vt:lpwstr>39;#Global IPD-HO|97b3624a-d2b3-449b-8a2e-7ecd7d6cd086</vt:lpwstr>
  </property>
  <property fmtid="{D5CDD505-2E9C-101B-9397-08002B2CF9AE}" pid="9" name="_dlc_DocIdItemGuid">
    <vt:lpwstr>9053d249-9e79-4c92-8987-4345526f8368</vt:lpwstr>
  </property>
  <property fmtid="{D5CDD505-2E9C-101B-9397-08002B2CF9AE}" pid="10" name="Marketing">
    <vt:lpwstr/>
  </property>
  <property fmtid="{D5CDD505-2E9C-101B-9397-08002B2CF9AE}" pid="11" name="MarketingTaxHTField0">
    <vt:lpwstr/>
  </property>
  <property fmtid="{D5CDD505-2E9C-101B-9397-08002B2CF9AE}" pid="12" name="TaxKeywordTaxHTField">
    <vt:lpwstr>Terms of reference|11111111-1111-1111-1111-111111111111;Evaluation|11111111-1111-1111-1111-111111111111</vt:lpwstr>
  </property>
  <property fmtid="{D5CDD505-2E9C-101B-9397-08002B2CF9AE}" pid="13" name="Order">
    <vt:r8>847600</vt:r8>
  </property>
  <property fmtid="{D5CDD505-2E9C-101B-9397-08002B2CF9AE}" pid="14" name="xd_ProgID">
    <vt:lpwstr/>
  </property>
  <property fmtid="{D5CDD505-2E9C-101B-9397-08002B2CF9AE}" pid="15" name="_CopySource">
    <vt:lpwstr>https://share.npaid.org/sites/ipd/Shared Documents/300 Template ToR Evaluations.docx</vt:lpwstr>
  </property>
  <property fmtid="{D5CDD505-2E9C-101B-9397-08002B2CF9AE}" pid="16" name="TemplateUrl">
    <vt:lpwstr/>
  </property>
  <property fmtid="{D5CDD505-2E9C-101B-9397-08002B2CF9AE}" pid="17" name="Activity">
    <vt:lpwstr>2851;#Monitoring Evaluation and Learning|4c70c72a-b616-44dd-b36f-c4d16f360361</vt:lpwstr>
  </property>
</Properties>
</file>